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6DE0B" w14:textId="52F70EFB" w:rsidR="000A78A5" w:rsidRPr="00232D48" w:rsidRDefault="000A78A5" w:rsidP="003B26B5">
      <w:pPr>
        <w:pStyle w:val="Heading1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232D48">
        <w:rPr>
          <w:rFonts w:ascii="Century Gothic" w:hAnsi="Century Gothic" w:cs="Arial"/>
          <w:b/>
          <w:bCs/>
          <w:sz w:val="22"/>
          <w:szCs w:val="22"/>
        </w:rPr>
        <w:t>Introduction</w:t>
      </w:r>
    </w:p>
    <w:p w14:paraId="51777A66" w14:textId="7AB2F977" w:rsidR="00C10DFE" w:rsidRPr="00232D48" w:rsidRDefault="003B26B5" w:rsidP="003B26B5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  <w:r w:rsidR="00C10DFE" w:rsidRPr="00232D48">
        <w:rPr>
          <w:rFonts w:ascii="Arial" w:hAnsi="Arial" w:cs="Arial"/>
          <w:sz w:val="19"/>
          <w:szCs w:val="19"/>
        </w:rPr>
        <w:t xml:space="preserve">Technical advice is used in a very broad </w:t>
      </w:r>
      <w:r w:rsidR="00F54247" w:rsidRPr="00232D48">
        <w:rPr>
          <w:rFonts w:ascii="Arial" w:hAnsi="Arial" w:cs="Arial"/>
          <w:sz w:val="19"/>
          <w:szCs w:val="19"/>
        </w:rPr>
        <w:t>sense and</w:t>
      </w:r>
      <w:r w:rsidR="00257CC1" w:rsidRPr="00232D48">
        <w:rPr>
          <w:rFonts w:ascii="Arial" w:hAnsi="Arial" w:cs="Arial"/>
          <w:sz w:val="19"/>
          <w:szCs w:val="19"/>
        </w:rPr>
        <w:t xml:space="preserve"> </w:t>
      </w:r>
      <w:r w:rsidR="00AE0E39" w:rsidRPr="00232D48">
        <w:rPr>
          <w:rFonts w:ascii="Arial" w:hAnsi="Arial" w:cs="Arial"/>
          <w:sz w:val="19"/>
          <w:szCs w:val="19"/>
        </w:rPr>
        <w:t>could be</w:t>
      </w:r>
      <w:r w:rsidR="00257CC1" w:rsidRPr="00232D48">
        <w:rPr>
          <w:rFonts w:ascii="Arial" w:hAnsi="Arial" w:cs="Arial"/>
          <w:sz w:val="19"/>
          <w:szCs w:val="19"/>
        </w:rPr>
        <w:t xml:space="preserve"> </w:t>
      </w:r>
      <w:r w:rsidR="006378AC" w:rsidRPr="00232D48">
        <w:rPr>
          <w:rFonts w:ascii="Arial" w:hAnsi="Arial" w:cs="Arial"/>
          <w:sz w:val="19"/>
          <w:szCs w:val="19"/>
        </w:rPr>
        <w:t xml:space="preserve">described as support that the </w:t>
      </w:r>
      <w:r w:rsidR="00A6044C" w:rsidRPr="00232D48">
        <w:rPr>
          <w:rFonts w:ascii="Arial" w:hAnsi="Arial" w:cs="Arial"/>
          <w:sz w:val="19"/>
          <w:szCs w:val="19"/>
        </w:rPr>
        <w:t>programme</w:t>
      </w:r>
      <w:r w:rsidR="006378AC" w:rsidRPr="00232D48">
        <w:rPr>
          <w:rFonts w:ascii="Arial" w:hAnsi="Arial" w:cs="Arial"/>
          <w:sz w:val="19"/>
          <w:szCs w:val="19"/>
        </w:rPr>
        <w:t xml:space="preserve"> team can give the</w:t>
      </w:r>
      <w:r w:rsidR="00EA1733" w:rsidRPr="00232D48">
        <w:rPr>
          <w:rFonts w:ascii="Arial" w:hAnsi="Arial" w:cs="Arial"/>
          <w:sz w:val="19"/>
          <w:szCs w:val="19"/>
        </w:rPr>
        <w:t xml:space="preserve"> tenant </w:t>
      </w:r>
      <w:r w:rsidR="00AE0E39" w:rsidRPr="00232D48">
        <w:rPr>
          <w:rFonts w:ascii="Arial" w:hAnsi="Arial" w:cs="Arial"/>
          <w:sz w:val="19"/>
          <w:szCs w:val="19"/>
        </w:rPr>
        <w:t xml:space="preserve">to assist them </w:t>
      </w:r>
      <w:r w:rsidR="00E94716" w:rsidRPr="00232D48">
        <w:rPr>
          <w:rFonts w:ascii="Arial" w:hAnsi="Arial" w:cs="Arial"/>
          <w:sz w:val="19"/>
          <w:szCs w:val="19"/>
        </w:rPr>
        <w:t>in accessing, using, and maintaining their rental housing</w:t>
      </w:r>
      <w:r w:rsidR="00475655" w:rsidRPr="00232D48">
        <w:rPr>
          <w:rFonts w:ascii="Arial" w:hAnsi="Arial" w:cs="Arial"/>
          <w:sz w:val="19"/>
          <w:szCs w:val="19"/>
        </w:rPr>
        <w:t xml:space="preserve">. </w:t>
      </w:r>
      <w:r w:rsidR="009346DF" w:rsidRPr="00232D48">
        <w:rPr>
          <w:rFonts w:ascii="Arial" w:hAnsi="Arial" w:cs="Arial"/>
          <w:sz w:val="19"/>
          <w:szCs w:val="19"/>
        </w:rPr>
        <w:t xml:space="preserve">Technical advice can also include support in helping to manage the relationship between </w:t>
      </w:r>
      <w:r w:rsidR="00427DC9" w:rsidRPr="00232D48">
        <w:rPr>
          <w:rFonts w:ascii="Arial" w:hAnsi="Arial" w:cs="Arial"/>
          <w:sz w:val="19"/>
          <w:szCs w:val="19"/>
        </w:rPr>
        <w:t xml:space="preserve">property owner and tenant during the life of tenancy. </w:t>
      </w:r>
    </w:p>
    <w:p w14:paraId="49DB2609" w14:textId="3F6C02F3" w:rsidR="0056069D" w:rsidRPr="00232D48" w:rsidRDefault="0056069D" w:rsidP="003B26B5">
      <w:p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F1556" wp14:editId="0A0C5DC2">
                <wp:simplePos x="0" y="0"/>
                <wp:positionH relativeFrom="column">
                  <wp:posOffset>-7620</wp:posOffset>
                </wp:positionH>
                <wp:positionV relativeFrom="paragraph">
                  <wp:posOffset>333375</wp:posOffset>
                </wp:positionV>
                <wp:extent cx="6156960" cy="845820"/>
                <wp:effectExtent l="0" t="0" r="0" b="0"/>
                <wp:wrapSquare wrapText="bothSides"/>
                <wp:docPr id="733933811" name="Text Box 733933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845820"/>
                        </a:xfrm>
                        <a:prstGeom prst="rect">
                          <a:avLst/>
                        </a:prstGeom>
                        <a:solidFill>
                          <a:srgbClr val="FEF5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625F4" w14:textId="25673642" w:rsidR="00782D2C" w:rsidRPr="00232D48" w:rsidRDefault="00782D2C" w:rsidP="0082181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3.</w:t>
                            </w:r>
                            <w:r w:rsidR="00594170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7</w:t>
                            </w:r>
                            <w:r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_</w:t>
                            </w:r>
                            <w:r w:rsidR="0086595C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Example_EnergySavingTips_RentalAssistance</w:t>
                            </w:r>
                            <w:r w:rsidR="00716759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 w:rsidR="00201318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pdf</w:t>
                            </w:r>
                            <w:r w:rsidR="00716759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&amp; 3.</w:t>
                            </w:r>
                            <w:r w:rsidR="00201318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7</w:t>
                            </w:r>
                            <w:r w:rsidR="00716759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_</w:t>
                            </w:r>
                            <w:r w:rsidR="00201318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Example_EnergySavingTips_RentalAssistance</w:t>
                            </w:r>
                            <w:r w:rsidR="00716759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 w:rsidR="003221EE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pub</w:t>
                            </w:r>
                          </w:p>
                          <w:p w14:paraId="42D206D0" w14:textId="490415C8" w:rsidR="00716759" w:rsidRPr="00232D48" w:rsidRDefault="008B67F2" w:rsidP="0082181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Document </w:t>
                            </w:r>
                            <w:r w:rsidR="003221EE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used by Slovak Red Cross</w:t>
                            </w:r>
                            <w:r w:rsidR="00A80C34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in 2022/2023</w:t>
                            </w:r>
                            <w:r w:rsidR="003221EE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F3C34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to support tenants in a rental programme and homeowners during the winter </w:t>
                            </w:r>
                            <w:r w:rsidR="00A80C34" w:rsidRPr="00232D4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when energy prices were high.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F1556" id="_x0000_t202" coordsize="21600,21600" o:spt="202" path="m,l,21600r21600,l21600,xe">
                <v:stroke joinstyle="miter"/>
                <v:path gradientshapeok="t" o:connecttype="rect"/>
              </v:shapetype>
              <v:shape id="Text Box 733933811" o:spid="_x0000_s1026" type="#_x0000_t202" style="position:absolute;left:0;text-align:left;margin-left:-.6pt;margin-top:26.25pt;width:484.8pt;height: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" fillcolor="#fef5f4" stroked="f">
                <v:textbox>
                  <w:txbxContent>
                    <w:p w14:paraId="273625F4" w14:textId="25673642" w:rsidR="00782D2C" w:rsidRPr="00232D48" w:rsidRDefault="00782D2C" w:rsidP="0082181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3.</w:t>
                      </w:r>
                      <w:r w:rsidR="00594170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7</w:t>
                      </w:r>
                      <w:r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_</w:t>
                      </w:r>
                      <w:r w:rsidR="0086595C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Example_EnergySavingTips_RentalAssistance</w:t>
                      </w:r>
                      <w:r w:rsidR="00716759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  <w:r w:rsidR="00201318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pdf</w:t>
                      </w:r>
                      <w:r w:rsidR="00716759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&amp; 3.</w:t>
                      </w:r>
                      <w:r w:rsidR="00201318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7</w:t>
                      </w:r>
                      <w:r w:rsidR="00716759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_</w:t>
                      </w:r>
                      <w:r w:rsidR="00201318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Example_EnergySavingTips_RentalAssistance</w:t>
                      </w:r>
                      <w:r w:rsidR="00716759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  <w:r w:rsidR="003221EE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pub</w:t>
                      </w:r>
                    </w:p>
                    <w:p w14:paraId="42D206D0" w14:textId="490415C8" w:rsidR="00716759" w:rsidRPr="00232D48" w:rsidRDefault="008B67F2" w:rsidP="0082181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Document </w:t>
                      </w:r>
                      <w:r w:rsidR="003221EE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used by Slovak Red Cross</w:t>
                      </w:r>
                      <w:r w:rsidR="00A80C34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in 2022/2023</w:t>
                      </w:r>
                      <w:r w:rsidR="003221EE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7F3C34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to support tenants in a rental programme and homeowners during the winter </w:t>
                      </w:r>
                      <w:r w:rsidR="00A80C34" w:rsidRPr="00232D48">
                        <w:rPr>
                          <w:rFonts w:ascii="Arial" w:hAnsi="Arial" w:cs="Arial"/>
                          <w:sz w:val="19"/>
                          <w:szCs w:val="19"/>
                        </w:rPr>
                        <w:t>when energy prices were high.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2D48">
        <w:rPr>
          <w:rFonts w:ascii="Arial" w:hAnsi="Arial" w:cs="Arial"/>
          <w:sz w:val="19"/>
          <w:szCs w:val="19"/>
        </w:rPr>
        <w:t xml:space="preserve">Tools and </w:t>
      </w:r>
      <w:r w:rsidR="008B0842" w:rsidRPr="00232D48">
        <w:rPr>
          <w:rFonts w:ascii="Arial" w:hAnsi="Arial" w:cs="Arial"/>
          <w:sz w:val="19"/>
          <w:szCs w:val="19"/>
        </w:rPr>
        <w:t>e</w:t>
      </w:r>
      <w:r w:rsidRPr="00232D48">
        <w:rPr>
          <w:rFonts w:ascii="Arial" w:hAnsi="Arial" w:cs="Arial"/>
          <w:sz w:val="19"/>
          <w:szCs w:val="19"/>
        </w:rPr>
        <w:t>xamples from the toolkit, that may be useful to assist here include:</w:t>
      </w:r>
    </w:p>
    <w:p w14:paraId="078A47B3" w14:textId="7DD1E1A9" w:rsidR="00267FE3" w:rsidRPr="00232D48" w:rsidRDefault="00A322F0" w:rsidP="003B26B5">
      <w:pPr>
        <w:pStyle w:val="Heading1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232D48">
        <w:rPr>
          <w:rFonts w:ascii="Century Gothic" w:hAnsi="Century Gothic" w:cs="Arial"/>
          <w:b/>
          <w:bCs/>
          <w:sz w:val="22"/>
          <w:szCs w:val="22"/>
        </w:rPr>
        <w:t>General Guidance</w:t>
      </w:r>
    </w:p>
    <w:p w14:paraId="61389466" w14:textId="1B07B8B7" w:rsidR="00354AEE" w:rsidRPr="00232D48" w:rsidRDefault="003B26B5" w:rsidP="003B26B5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  <w:r w:rsidR="00354AEE" w:rsidRPr="00232D48">
        <w:rPr>
          <w:rFonts w:ascii="Arial" w:hAnsi="Arial" w:cs="Arial"/>
          <w:sz w:val="19"/>
          <w:szCs w:val="19"/>
        </w:rPr>
        <w:t>There are a wide range of activities that can be included in this component of support:</w:t>
      </w:r>
    </w:p>
    <w:p w14:paraId="5616B95F" w14:textId="065D9B22" w:rsidR="00354AEE" w:rsidRPr="00232D48" w:rsidRDefault="00354AEE" w:rsidP="003B26B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sz w:val="19"/>
          <w:szCs w:val="19"/>
        </w:rPr>
        <w:t>Supporting tenants with negotiating with landlords, and in-particular to support with translation for cross-border displaced people.</w:t>
      </w:r>
    </w:p>
    <w:p w14:paraId="40D260EE" w14:textId="70239D35" w:rsidR="00354AEE" w:rsidRPr="00232D48" w:rsidRDefault="6962B862" w:rsidP="003B26B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sz w:val="19"/>
          <w:szCs w:val="19"/>
        </w:rPr>
        <w:t>Conducting t</w:t>
      </w:r>
      <w:r w:rsidR="00354AEE" w:rsidRPr="00232D48">
        <w:rPr>
          <w:rFonts w:ascii="Arial" w:hAnsi="Arial" w:cs="Arial"/>
          <w:sz w:val="19"/>
          <w:szCs w:val="19"/>
        </w:rPr>
        <w:t>echnical visits</w:t>
      </w:r>
      <w:r w:rsidR="360990C9" w:rsidRPr="00232D48">
        <w:rPr>
          <w:rFonts w:ascii="Arial" w:hAnsi="Arial" w:cs="Arial"/>
          <w:sz w:val="19"/>
          <w:szCs w:val="19"/>
        </w:rPr>
        <w:t xml:space="preserve"> and demonstrations</w:t>
      </w:r>
      <w:r w:rsidR="00354AEE" w:rsidRPr="00232D48">
        <w:rPr>
          <w:rFonts w:ascii="Arial" w:hAnsi="Arial" w:cs="Arial"/>
          <w:sz w:val="19"/>
          <w:szCs w:val="19"/>
        </w:rPr>
        <w:t xml:space="preserve"> related to use, maintenance, and wear-and-tear of rental properties. </w:t>
      </w:r>
    </w:p>
    <w:p w14:paraId="61DD681F" w14:textId="0FF4CED9" w:rsidR="00354AEE" w:rsidRPr="00232D48" w:rsidRDefault="00354AEE" w:rsidP="003B26B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sz w:val="19"/>
          <w:szCs w:val="19"/>
        </w:rPr>
        <w:t>Suppor</w:t>
      </w:r>
      <w:r w:rsidR="224995B8" w:rsidRPr="00232D48">
        <w:rPr>
          <w:rFonts w:ascii="Arial" w:hAnsi="Arial" w:cs="Arial"/>
          <w:sz w:val="19"/>
          <w:szCs w:val="19"/>
        </w:rPr>
        <w:t>ting</w:t>
      </w:r>
      <w:r w:rsidRPr="00232D48">
        <w:rPr>
          <w:rFonts w:ascii="Arial" w:hAnsi="Arial" w:cs="Arial"/>
          <w:sz w:val="19"/>
          <w:szCs w:val="19"/>
        </w:rPr>
        <w:t xml:space="preserve"> tenants to understand how to use less energy and other utilities.</w:t>
      </w:r>
    </w:p>
    <w:p w14:paraId="05F0490E" w14:textId="77777777" w:rsidR="00354AEE" w:rsidRPr="00232D48" w:rsidRDefault="00354AEE" w:rsidP="003B26B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sz w:val="19"/>
          <w:szCs w:val="19"/>
        </w:rPr>
        <w:t xml:space="preserve">Supporting households to make insurance claims to pay for temporary accommodation. </w:t>
      </w:r>
    </w:p>
    <w:p w14:paraId="6E2F3EC1" w14:textId="77777777" w:rsidR="00354AEE" w:rsidRPr="00232D48" w:rsidRDefault="00354AEE" w:rsidP="003B26B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sz w:val="19"/>
          <w:szCs w:val="19"/>
        </w:rPr>
        <w:t xml:space="preserve">Assisting with accessing support from government support systems. </w:t>
      </w:r>
    </w:p>
    <w:p w14:paraId="668ABFCB" w14:textId="4F442098" w:rsidR="00354AEE" w:rsidRPr="00232D48" w:rsidRDefault="00354AEE" w:rsidP="003B26B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sz w:val="19"/>
          <w:szCs w:val="19"/>
        </w:rPr>
        <w:t>Referr</w:t>
      </w:r>
      <w:r w:rsidR="21A10730" w:rsidRPr="00232D48">
        <w:rPr>
          <w:rFonts w:ascii="Arial" w:hAnsi="Arial" w:cs="Arial"/>
          <w:sz w:val="19"/>
          <w:szCs w:val="19"/>
        </w:rPr>
        <w:t>ing</w:t>
      </w:r>
      <w:r w:rsidRPr="00232D48">
        <w:rPr>
          <w:rFonts w:ascii="Arial" w:hAnsi="Arial" w:cs="Arial"/>
          <w:sz w:val="19"/>
          <w:szCs w:val="19"/>
        </w:rPr>
        <w:t xml:space="preserve"> to social workers for support on relationship management between tenant and owners, this can be part of eviction monitoring.</w:t>
      </w:r>
    </w:p>
    <w:p w14:paraId="4BAAD95B" w14:textId="4C3280B0" w:rsidR="00354AEE" w:rsidRPr="00232D48" w:rsidRDefault="101375BC" w:rsidP="003B26B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sz w:val="19"/>
          <w:szCs w:val="19"/>
        </w:rPr>
        <w:t>Providing l</w:t>
      </w:r>
      <w:r w:rsidR="00354AEE" w:rsidRPr="00232D48">
        <w:rPr>
          <w:rFonts w:ascii="Arial" w:hAnsi="Arial" w:cs="Arial"/>
          <w:sz w:val="19"/>
          <w:szCs w:val="19"/>
        </w:rPr>
        <w:t>egal advice</w:t>
      </w:r>
      <w:r w:rsidR="33392105" w:rsidRPr="00232D48">
        <w:rPr>
          <w:rFonts w:ascii="Arial" w:hAnsi="Arial" w:cs="Arial"/>
          <w:sz w:val="19"/>
          <w:szCs w:val="19"/>
        </w:rPr>
        <w:t>,</w:t>
      </w:r>
      <w:r w:rsidR="00354AEE" w:rsidRPr="00232D48">
        <w:rPr>
          <w:rFonts w:ascii="Arial" w:hAnsi="Arial" w:cs="Arial"/>
          <w:sz w:val="19"/>
          <w:szCs w:val="19"/>
        </w:rPr>
        <w:t xml:space="preserve"> mediation and collaborative dispute resolution.</w:t>
      </w:r>
    </w:p>
    <w:p w14:paraId="00830173" w14:textId="0E784353" w:rsidR="00F03EA0" w:rsidRPr="00232D48" w:rsidRDefault="00F03EA0" w:rsidP="003B26B5">
      <w:p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sz w:val="19"/>
          <w:szCs w:val="19"/>
        </w:rPr>
        <w:t xml:space="preserve">The activities that will be included in the programme under </w:t>
      </w:r>
      <w:r w:rsidR="00080DCB" w:rsidRPr="00232D48">
        <w:rPr>
          <w:rFonts w:ascii="Arial" w:hAnsi="Arial" w:cs="Arial"/>
          <w:sz w:val="19"/>
          <w:szCs w:val="19"/>
        </w:rPr>
        <w:t xml:space="preserve">the </w:t>
      </w:r>
      <w:r w:rsidRPr="00232D48">
        <w:rPr>
          <w:rFonts w:ascii="Arial" w:hAnsi="Arial" w:cs="Arial"/>
          <w:sz w:val="19"/>
          <w:szCs w:val="19"/>
        </w:rPr>
        <w:t>technical advice</w:t>
      </w:r>
      <w:r w:rsidR="00080DCB" w:rsidRPr="00232D48">
        <w:rPr>
          <w:rFonts w:ascii="Arial" w:hAnsi="Arial" w:cs="Arial"/>
          <w:sz w:val="19"/>
          <w:szCs w:val="19"/>
        </w:rPr>
        <w:t xml:space="preserve"> component</w:t>
      </w:r>
      <w:r w:rsidR="00B80D1B" w:rsidRPr="00232D48">
        <w:rPr>
          <w:rFonts w:ascii="Arial" w:hAnsi="Arial" w:cs="Arial"/>
          <w:sz w:val="19"/>
          <w:szCs w:val="19"/>
        </w:rPr>
        <w:t xml:space="preserve"> (which often go past purely information support)</w:t>
      </w:r>
      <w:r w:rsidRPr="00232D48">
        <w:rPr>
          <w:rFonts w:ascii="Arial" w:hAnsi="Arial" w:cs="Arial"/>
          <w:sz w:val="19"/>
          <w:szCs w:val="19"/>
        </w:rPr>
        <w:t xml:space="preserve"> </w:t>
      </w:r>
      <w:r w:rsidR="00080DCB" w:rsidRPr="00232D48">
        <w:rPr>
          <w:rFonts w:ascii="Arial" w:hAnsi="Arial" w:cs="Arial"/>
          <w:sz w:val="19"/>
          <w:szCs w:val="19"/>
        </w:rPr>
        <w:t>must</w:t>
      </w:r>
      <w:r w:rsidRPr="00232D48">
        <w:rPr>
          <w:rFonts w:ascii="Arial" w:hAnsi="Arial" w:cs="Arial"/>
          <w:sz w:val="19"/>
          <w:szCs w:val="19"/>
        </w:rPr>
        <w:t xml:space="preserve"> respond to </w:t>
      </w:r>
      <w:r w:rsidR="17EF682A" w:rsidRPr="00232D48">
        <w:rPr>
          <w:rFonts w:ascii="Arial" w:hAnsi="Arial" w:cs="Arial"/>
          <w:sz w:val="19"/>
          <w:szCs w:val="19"/>
        </w:rPr>
        <w:t>the</w:t>
      </w:r>
      <w:r w:rsidR="3E6BFEA1" w:rsidRPr="00232D48">
        <w:rPr>
          <w:rFonts w:ascii="Arial" w:hAnsi="Arial" w:cs="Arial"/>
          <w:sz w:val="19"/>
          <w:szCs w:val="19"/>
        </w:rPr>
        <w:t xml:space="preserve"> identified</w:t>
      </w:r>
      <w:r w:rsidR="17EF682A" w:rsidRPr="00232D48">
        <w:rPr>
          <w:rFonts w:ascii="Arial" w:hAnsi="Arial" w:cs="Arial"/>
          <w:sz w:val="19"/>
          <w:szCs w:val="19"/>
        </w:rPr>
        <w:t xml:space="preserve"> </w:t>
      </w:r>
      <w:r w:rsidRPr="00232D48">
        <w:rPr>
          <w:rFonts w:ascii="Arial" w:hAnsi="Arial" w:cs="Arial"/>
          <w:sz w:val="19"/>
          <w:szCs w:val="19"/>
        </w:rPr>
        <w:t>needs</w:t>
      </w:r>
      <w:r w:rsidR="00080DCB" w:rsidRPr="00232D48">
        <w:rPr>
          <w:rFonts w:ascii="Arial" w:hAnsi="Arial" w:cs="Arial"/>
          <w:sz w:val="19"/>
          <w:szCs w:val="19"/>
        </w:rPr>
        <w:t xml:space="preserve"> o</w:t>
      </w:r>
      <w:r w:rsidR="645A2087" w:rsidRPr="00232D48">
        <w:rPr>
          <w:rFonts w:ascii="Arial" w:hAnsi="Arial" w:cs="Arial"/>
          <w:sz w:val="19"/>
          <w:szCs w:val="19"/>
        </w:rPr>
        <w:t>f</w:t>
      </w:r>
      <w:r w:rsidR="00080DCB" w:rsidRPr="00232D48">
        <w:rPr>
          <w:rFonts w:ascii="Arial" w:hAnsi="Arial" w:cs="Arial"/>
          <w:sz w:val="19"/>
          <w:szCs w:val="19"/>
        </w:rPr>
        <w:t xml:space="preserve"> tenants and property owners</w:t>
      </w:r>
      <w:r w:rsidRPr="00232D48">
        <w:rPr>
          <w:rFonts w:ascii="Arial" w:hAnsi="Arial" w:cs="Arial"/>
          <w:sz w:val="19"/>
          <w:szCs w:val="19"/>
        </w:rPr>
        <w:t>. F</w:t>
      </w:r>
      <w:r w:rsidR="00902296" w:rsidRPr="00232D48">
        <w:rPr>
          <w:rFonts w:ascii="Arial" w:hAnsi="Arial" w:cs="Arial"/>
          <w:sz w:val="19"/>
          <w:szCs w:val="19"/>
        </w:rPr>
        <w:t xml:space="preserve">or example, </w:t>
      </w:r>
      <w:r w:rsidR="00C302E7" w:rsidRPr="00232D48">
        <w:rPr>
          <w:rFonts w:ascii="Arial" w:hAnsi="Arial" w:cs="Arial"/>
          <w:sz w:val="19"/>
          <w:szCs w:val="19"/>
        </w:rPr>
        <w:t xml:space="preserve">plans to support prospective tenants in their negotiations with landlords with both translation and negotiation support </w:t>
      </w:r>
      <w:r w:rsidR="00902296" w:rsidRPr="00232D48">
        <w:rPr>
          <w:rFonts w:ascii="Arial" w:hAnsi="Arial" w:cs="Arial"/>
          <w:sz w:val="19"/>
          <w:szCs w:val="19"/>
        </w:rPr>
        <w:t>might</w:t>
      </w:r>
      <w:r w:rsidR="00B80D1B" w:rsidRPr="00232D48">
        <w:rPr>
          <w:rFonts w:ascii="Arial" w:hAnsi="Arial" w:cs="Arial"/>
          <w:sz w:val="19"/>
          <w:szCs w:val="19"/>
        </w:rPr>
        <w:t xml:space="preserve"> be responding to an analysis of the </w:t>
      </w:r>
      <w:r w:rsidR="00902296" w:rsidRPr="00232D48">
        <w:rPr>
          <w:rFonts w:ascii="Arial" w:hAnsi="Arial" w:cs="Arial"/>
          <w:sz w:val="19"/>
          <w:szCs w:val="19"/>
        </w:rPr>
        <w:t>barriers</w:t>
      </w:r>
      <w:r w:rsidR="00B80D1B" w:rsidRPr="00232D48">
        <w:rPr>
          <w:rFonts w:ascii="Arial" w:hAnsi="Arial" w:cs="Arial"/>
          <w:sz w:val="19"/>
          <w:szCs w:val="19"/>
        </w:rPr>
        <w:t xml:space="preserve"> </w:t>
      </w:r>
      <w:r w:rsidR="6AFD3235" w:rsidRPr="00232D48">
        <w:rPr>
          <w:rFonts w:ascii="Arial" w:hAnsi="Arial" w:cs="Arial"/>
          <w:sz w:val="19"/>
          <w:szCs w:val="19"/>
        </w:rPr>
        <w:t xml:space="preserve">that </w:t>
      </w:r>
      <w:r w:rsidR="00B80D1B" w:rsidRPr="00232D48">
        <w:rPr>
          <w:rFonts w:ascii="Arial" w:hAnsi="Arial" w:cs="Arial"/>
          <w:sz w:val="19"/>
          <w:szCs w:val="19"/>
        </w:rPr>
        <w:t xml:space="preserve">affected people </w:t>
      </w:r>
      <w:r w:rsidR="00762C70" w:rsidRPr="00232D48">
        <w:rPr>
          <w:rFonts w:ascii="Arial" w:hAnsi="Arial" w:cs="Arial"/>
          <w:sz w:val="19"/>
          <w:szCs w:val="19"/>
        </w:rPr>
        <w:t>face</w:t>
      </w:r>
      <w:r w:rsidR="00B80D1B" w:rsidRPr="00232D48">
        <w:rPr>
          <w:rFonts w:ascii="Arial" w:hAnsi="Arial" w:cs="Arial"/>
          <w:sz w:val="19"/>
          <w:szCs w:val="19"/>
        </w:rPr>
        <w:t xml:space="preserve"> when trying to</w:t>
      </w:r>
      <w:r w:rsidR="00902296" w:rsidRPr="00232D48">
        <w:rPr>
          <w:rFonts w:ascii="Arial" w:hAnsi="Arial" w:cs="Arial"/>
          <w:sz w:val="19"/>
          <w:szCs w:val="19"/>
        </w:rPr>
        <w:t xml:space="preserve"> access the rental market</w:t>
      </w:r>
      <w:r w:rsidR="00B80D1B" w:rsidRPr="00232D48">
        <w:rPr>
          <w:rFonts w:ascii="Arial" w:hAnsi="Arial" w:cs="Arial"/>
          <w:sz w:val="19"/>
          <w:szCs w:val="19"/>
        </w:rPr>
        <w:t>.</w:t>
      </w:r>
      <w:r w:rsidR="00762C70" w:rsidRPr="00232D48">
        <w:rPr>
          <w:rFonts w:ascii="Arial" w:hAnsi="Arial" w:cs="Arial"/>
          <w:sz w:val="19"/>
          <w:szCs w:val="19"/>
        </w:rPr>
        <w:t xml:space="preserve"> This</w:t>
      </w:r>
      <w:r w:rsidR="00E6159B" w:rsidRPr="00232D48">
        <w:rPr>
          <w:rFonts w:ascii="Arial" w:hAnsi="Arial" w:cs="Arial"/>
          <w:sz w:val="19"/>
          <w:szCs w:val="19"/>
        </w:rPr>
        <w:t xml:space="preserve"> occurs frequently with migrants w</w:t>
      </w:r>
      <w:r w:rsidR="00167FA4" w:rsidRPr="00232D48">
        <w:rPr>
          <w:rFonts w:ascii="Arial" w:hAnsi="Arial" w:cs="Arial"/>
          <w:sz w:val="19"/>
          <w:szCs w:val="19"/>
        </w:rPr>
        <w:t>hen</w:t>
      </w:r>
      <w:r w:rsidR="00E6159B" w:rsidRPr="00232D48">
        <w:rPr>
          <w:rFonts w:ascii="Arial" w:hAnsi="Arial" w:cs="Arial"/>
          <w:sz w:val="19"/>
          <w:szCs w:val="19"/>
        </w:rPr>
        <w:t xml:space="preserve"> there may be a </w:t>
      </w:r>
      <w:r w:rsidR="001B5964" w:rsidRPr="00232D48">
        <w:rPr>
          <w:rFonts w:ascii="Arial" w:hAnsi="Arial" w:cs="Arial"/>
          <w:sz w:val="19"/>
          <w:szCs w:val="19"/>
        </w:rPr>
        <w:t>language barrier</w:t>
      </w:r>
      <w:r w:rsidR="00E6159B" w:rsidRPr="00232D48">
        <w:rPr>
          <w:rFonts w:ascii="Arial" w:hAnsi="Arial" w:cs="Arial"/>
          <w:sz w:val="19"/>
          <w:szCs w:val="19"/>
        </w:rPr>
        <w:t>, but there may also be barrier</w:t>
      </w:r>
      <w:r w:rsidR="00167FA4" w:rsidRPr="00232D48">
        <w:rPr>
          <w:rFonts w:ascii="Arial" w:hAnsi="Arial" w:cs="Arial"/>
          <w:sz w:val="19"/>
          <w:szCs w:val="19"/>
        </w:rPr>
        <w:t>s</w:t>
      </w:r>
      <w:r w:rsidR="00E6159B" w:rsidRPr="00232D48">
        <w:rPr>
          <w:rFonts w:ascii="Arial" w:hAnsi="Arial" w:cs="Arial"/>
          <w:sz w:val="19"/>
          <w:szCs w:val="19"/>
        </w:rPr>
        <w:t xml:space="preserve"> related to </w:t>
      </w:r>
      <w:r w:rsidR="008E1564" w:rsidRPr="00232D48">
        <w:rPr>
          <w:rFonts w:ascii="Arial" w:hAnsi="Arial" w:cs="Arial"/>
          <w:sz w:val="19"/>
          <w:szCs w:val="19"/>
        </w:rPr>
        <w:t>ethnicity</w:t>
      </w:r>
      <w:r w:rsidR="00167FA4" w:rsidRPr="00232D48">
        <w:rPr>
          <w:rFonts w:ascii="Arial" w:hAnsi="Arial" w:cs="Arial"/>
          <w:sz w:val="19"/>
          <w:szCs w:val="19"/>
        </w:rPr>
        <w:t>, social group (e.g. caste)</w:t>
      </w:r>
      <w:r w:rsidR="008E1564" w:rsidRPr="00232D48">
        <w:rPr>
          <w:rFonts w:ascii="Arial" w:hAnsi="Arial" w:cs="Arial"/>
          <w:sz w:val="19"/>
          <w:szCs w:val="19"/>
        </w:rPr>
        <w:t xml:space="preserve"> or gender</w:t>
      </w:r>
      <w:r w:rsidR="00167FA4" w:rsidRPr="00232D48">
        <w:rPr>
          <w:rFonts w:ascii="Arial" w:hAnsi="Arial" w:cs="Arial"/>
          <w:sz w:val="19"/>
          <w:szCs w:val="19"/>
        </w:rPr>
        <w:t xml:space="preserve"> for example</w:t>
      </w:r>
      <w:r w:rsidR="008E1564" w:rsidRPr="00232D48">
        <w:rPr>
          <w:rFonts w:ascii="Arial" w:hAnsi="Arial" w:cs="Arial"/>
          <w:sz w:val="19"/>
          <w:szCs w:val="19"/>
        </w:rPr>
        <w:t xml:space="preserve"> where greater negotiation support may be welcomed.</w:t>
      </w:r>
    </w:p>
    <w:p w14:paraId="6710CF3D" w14:textId="70933DDC" w:rsidR="008E1564" w:rsidRPr="00232D48" w:rsidRDefault="00215ECC" w:rsidP="003B26B5">
      <w:p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sz w:val="19"/>
          <w:szCs w:val="19"/>
        </w:rPr>
        <w:t>The example of providing support to people to access</w:t>
      </w:r>
      <w:r w:rsidR="00D12A21" w:rsidRPr="00232D48">
        <w:rPr>
          <w:rFonts w:ascii="Arial" w:hAnsi="Arial" w:cs="Arial"/>
          <w:sz w:val="19"/>
          <w:szCs w:val="19"/>
        </w:rPr>
        <w:t xml:space="preserve"> insurance to pay for temporary accommodation comes from a Canadian Red Cross programme supporting indigenous communities</w:t>
      </w:r>
      <w:r w:rsidR="00DA51A2" w:rsidRPr="00232D48">
        <w:rPr>
          <w:rFonts w:ascii="Arial" w:hAnsi="Arial" w:cs="Arial"/>
          <w:sz w:val="19"/>
          <w:szCs w:val="19"/>
        </w:rPr>
        <w:t xml:space="preserve"> in response to a disaster that cause</w:t>
      </w:r>
      <w:r w:rsidR="001B5964" w:rsidRPr="00232D48">
        <w:rPr>
          <w:rFonts w:ascii="Arial" w:hAnsi="Arial" w:cs="Arial"/>
          <w:sz w:val="19"/>
          <w:szCs w:val="19"/>
        </w:rPr>
        <w:t>d</w:t>
      </w:r>
      <w:r w:rsidR="00DA51A2" w:rsidRPr="00232D48">
        <w:rPr>
          <w:rFonts w:ascii="Arial" w:hAnsi="Arial" w:cs="Arial"/>
          <w:sz w:val="19"/>
          <w:szCs w:val="19"/>
        </w:rPr>
        <w:t xml:space="preserve"> housing damage and displacement.</w:t>
      </w:r>
    </w:p>
    <w:p w14:paraId="27E75395" w14:textId="35DE9D32" w:rsidR="00354AEE" w:rsidRPr="00232D48" w:rsidRDefault="00354AEE" w:rsidP="003B26B5">
      <w:pPr>
        <w:jc w:val="both"/>
        <w:rPr>
          <w:rFonts w:ascii="Arial" w:hAnsi="Arial" w:cs="Arial"/>
          <w:sz w:val="19"/>
          <w:szCs w:val="19"/>
        </w:rPr>
      </w:pPr>
      <w:r w:rsidRPr="00232D48">
        <w:rPr>
          <w:rFonts w:ascii="Arial" w:hAnsi="Arial" w:cs="Arial"/>
          <w:sz w:val="19"/>
          <w:szCs w:val="19"/>
        </w:rPr>
        <w:t>As can be seen from the list above</w:t>
      </w:r>
      <w:r w:rsidR="00755F71" w:rsidRPr="00232D48">
        <w:rPr>
          <w:rFonts w:ascii="Arial" w:hAnsi="Arial" w:cs="Arial"/>
          <w:sz w:val="19"/>
          <w:szCs w:val="19"/>
        </w:rPr>
        <w:t xml:space="preserve"> a range of </w:t>
      </w:r>
      <w:r w:rsidR="001B5964" w:rsidRPr="00232D48">
        <w:rPr>
          <w:rFonts w:ascii="Arial" w:hAnsi="Arial" w:cs="Arial"/>
          <w:sz w:val="19"/>
          <w:szCs w:val="19"/>
        </w:rPr>
        <w:t>expertise</w:t>
      </w:r>
      <w:r w:rsidRPr="00232D48">
        <w:rPr>
          <w:rFonts w:ascii="Arial" w:hAnsi="Arial" w:cs="Arial"/>
          <w:sz w:val="19"/>
          <w:szCs w:val="19"/>
        </w:rPr>
        <w:t xml:space="preserve"> may be required</w:t>
      </w:r>
      <w:r w:rsidR="00F03EA0" w:rsidRPr="00232D48">
        <w:rPr>
          <w:rFonts w:ascii="Arial" w:hAnsi="Arial" w:cs="Arial"/>
          <w:sz w:val="19"/>
          <w:szCs w:val="19"/>
        </w:rPr>
        <w:t xml:space="preserve"> to support people</w:t>
      </w:r>
      <w:r w:rsidR="00DA51A2" w:rsidRPr="00232D48">
        <w:rPr>
          <w:rFonts w:ascii="Arial" w:hAnsi="Arial" w:cs="Arial"/>
          <w:sz w:val="19"/>
          <w:szCs w:val="19"/>
        </w:rPr>
        <w:t xml:space="preserve"> with</w:t>
      </w:r>
      <w:r w:rsidR="0085344E" w:rsidRPr="00232D48">
        <w:rPr>
          <w:rFonts w:ascii="Arial" w:hAnsi="Arial" w:cs="Arial"/>
          <w:sz w:val="19"/>
          <w:szCs w:val="19"/>
        </w:rPr>
        <w:t xml:space="preserve"> the </w:t>
      </w:r>
      <w:r w:rsidR="7741DAC2" w:rsidRPr="00232D48">
        <w:rPr>
          <w:rFonts w:ascii="Arial" w:hAnsi="Arial" w:cs="Arial"/>
          <w:sz w:val="19"/>
          <w:szCs w:val="19"/>
        </w:rPr>
        <w:t xml:space="preserve">different </w:t>
      </w:r>
      <w:r w:rsidR="00DA51A2" w:rsidRPr="00232D48">
        <w:rPr>
          <w:rFonts w:ascii="Arial" w:hAnsi="Arial" w:cs="Arial"/>
          <w:sz w:val="19"/>
          <w:szCs w:val="19"/>
        </w:rPr>
        <w:t>technical advice</w:t>
      </w:r>
      <w:r w:rsidR="0085344E" w:rsidRPr="00232D48">
        <w:rPr>
          <w:rFonts w:ascii="Arial" w:hAnsi="Arial" w:cs="Arial"/>
          <w:sz w:val="19"/>
          <w:szCs w:val="19"/>
        </w:rPr>
        <w:t xml:space="preserve">, and </w:t>
      </w:r>
      <w:r w:rsidR="00755F71" w:rsidRPr="00232D48">
        <w:rPr>
          <w:rFonts w:ascii="Arial" w:hAnsi="Arial" w:cs="Arial"/>
          <w:sz w:val="19"/>
          <w:szCs w:val="19"/>
        </w:rPr>
        <w:t xml:space="preserve">this </w:t>
      </w:r>
      <w:r w:rsidR="00EEDF99" w:rsidRPr="00232D48">
        <w:rPr>
          <w:rFonts w:ascii="Arial" w:hAnsi="Arial" w:cs="Arial"/>
          <w:sz w:val="19"/>
          <w:szCs w:val="19"/>
        </w:rPr>
        <w:t>will</w:t>
      </w:r>
      <w:r w:rsidR="00755F71" w:rsidRPr="00232D48">
        <w:rPr>
          <w:rFonts w:ascii="Arial" w:hAnsi="Arial" w:cs="Arial"/>
          <w:sz w:val="19"/>
          <w:szCs w:val="19"/>
        </w:rPr>
        <w:t xml:space="preserve"> need to be resourced appropriately.</w:t>
      </w:r>
    </w:p>
    <w:sectPr w:rsidR="00354AEE" w:rsidRPr="00232D48" w:rsidSect="008B0842">
      <w:headerReference w:type="default" r:id="rId10"/>
      <w:footerReference w:type="default" r:id="rId11"/>
      <w:headerReference w:type="first" r:id="rId12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AE65F" w14:textId="77777777" w:rsidR="00BF52A4" w:rsidRDefault="00BF52A4" w:rsidP="001301EF">
      <w:pPr>
        <w:spacing w:after="0" w:line="240" w:lineRule="auto"/>
      </w:pPr>
      <w:r>
        <w:separator/>
      </w:r>
    </w:p>
  </w:endnote>
  <w:endnote w:type="continuationSeparator" w:id="0">
    <w:p w14:paraId="55F65CBB" w14:textId="77777777" w:rsidR="00BF52A4" w:rsidRDefault="00BF52A4" w:rsidP="001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86C8" w14:textId="2F047624" w:rsidR="005F218C" w:rsidRDefault="005F218C" w:rsidP="005F218C">
    <w:pPr>
      <w:pStyle w:val="Footer"/>
      <w:jc w:val="right"/>
    </w:pPr>
    <w:r>
      <w:t>2023</w:t>
    </w:r>
    <w:r>
      <w:tab/>
    </w:r>
    <w:r>
      <w:tab/>
      <w:t xml:space="preserve">Page </w:t>
    </w:r>
    <w:r>
      <w:rPr>
        <w:b/>
        <w:bCs/>
        <w:color w:val="2B579A"/>
        <w:sz w:val="24"/>
        <w:szCs w:val="24"/>
        <w:shd w:val="clear" w:color="auto" w:fill="E6E6E6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color w:val="2B579A"/>
        <w:sz w:val="24"/>
        <w:szCs w:val="24"/>
        <w:shd w:val="clear" w:color="auto" w:fill="E6E6E6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color w:val="2B579A"/>
        <w:sz w:val="24"/>
        <w:szCs w:val="24"/>
        <w:shd w:val="clear" w:color="auto" w:fill="E6E6E6"/>
      </w:rPr>
      <w:fldChar w:fldCharType="end"/>
    </w:r>
    <w:r>
      <w:t xml:space="preserve"> of </w:t>
    </w:r>
    <w:r>
      <w:rPr>
        <w:b/>
        <w:bCs/>
        <w:color w:val="2B579A"/>
        <w:sz w:val="24"/>
        <w:szCs w:val="24"/>
        <w:shd w:val="clear" w:color="auto" w:fill="E6E6E6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color w:val="2B579A"/>
        <w:sz w:val="24"/>
        <w:szCs w:val="24"/>
        <w:shd w:val="clear" w:color="auto" w:fill="E6E6E6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color w:val="2B579A"/>
        <w:sz w:val="24"/>
        <w:szCs w:val="24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947A3" w14:textId="77777777" w:rsidR="00BF52A4" w:rsidRDefault="00BF52A4" w:rsidP="001301EF">
      <w:pPr>
        <w:spacing w:after="0" w:line="240" w:lineRule="auto"/>
      </w:pPr>
      <w:r>
        <w:separator/>
      </w:r>
    </w:p>
  </w:footnote>
  <w:footnote w:type="continuationSeparator" w:id="0">
    <w:p w14:paraId="7653F325" w14:textId="77777777" w:rsidR="00BF52A4" w:rsidRDefault="00BF52A4" w:rsidP="0013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CFE1" w14:textId="6F21D7E6" w:rsidR="005F218C" w:rsidRDefault="003B26B5">
    <w:pPr>
      <w:pStyle w:val="Header"/>
    </w:pPr>
    <w:r>
      <w:rPr>
        <w:rFonts w:ascii="Arial" w:hAnsi="Arial" w:cs="Arial"/>
        <w:b/>
        <w:b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F0D75" wp14:editId="1897C990">
              <wp:simplePos x="0" y="0"/>
              <wp:positionH relativeFrom="column">
                <wp:posOffset>1546860</wp:posOffset>
              </wp:positionH>
              <wp:positionV relativeFrom="paragraph">
                <wp:posOffset>163830</wp:posOffset>
              </wp:positionV>
              <wp:extent cx="3482340" cy="845820"/>
              <wp:effectExtent l="0" t="0" r="0" b="0"/>
              <wp:wrapNone/>
              <wp:docPr id="1924065200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2340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533DD3" w14:textId="77777777" w:rsidR="003B26B5" w:rsidRPr="009503F7" w:rsidRDefault="003B26B5" w:rsidP="003B26B5">
                          <w:pPr>
                            <w:rPr>
                              <w:color w:val="F5333F"/>
                            </w:rPr>
                          </w:pPr>
                          <w:r w:rsidRPr="007148CA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5333F"/>
                              <w:spacing w:val="-10"/>
                              <w:kern w:val="28"/>
                              <w:sz w:val="44"/>
                              <w:szCs w:val="44"/>
                            </w:rPr>
                            <w:t xml:space="preserve">Rental Assistance </w:t>
                          </w:r>
                          <w:r w:rsidRPr="0026734E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5333F"/>
                              <w:spacing w:val="-10"/>
                              <w:kern w:val="28"/>
                              <w:sz w:val="44"/>
                              <w:szCs w:val="44"/>
                            </w:rPr>
                            <w:t>SoP 3.6  - Rent Guarantees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F0D7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21.8pt;margin-top:12.9pt;width:274.2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" filled="f" stroked="f" strokeweight=".5pt">
              <v:textbox>
                <w:txbxContent>
                  <w:p w14:paraId="5A533DD3" w14:textId="77777777" w:rsidR="003B26B5" w:rsidRPr="009503F7" w:rsidRDefault="003B26B5" w:rsidP="003B26B5">
                    <w:pPr>
                      <w:rPr>
                        <w:color w:val="F5333F"/>
                      </w:rPr>
                    </w:pPr>
                    <w:r w:rsidRPr="007148CA">
                      <w:rPr>
                        <w:rFonts w:ascii="Century Gothic" w:eastAsiaTheme="majorEastAsia" w:hAnsi="Century Gothic" w:cs="Arial"/>
                        <w:b/>
                        <w:bCs/>
                        <w:color w:val="F5333F"/>
                        <w:spacing w:val="-10"/>
                        <w:kern w:val="28"/>
                        <w:sz w:val="44"/>
                        <w:szCs w:val="44"/>
                      </w:rPr>
                      <w:t xml:space="preserve">Rental Assistance </w:t>
                    </w:r>
                    <w:r w:rsidRPr="0026734E">
                      <w:rPr>
                        <w:rFonts w:ascii="Century Gothic" w:eastAsiaTheme="majorEastAsia" w:hAnsi="Century Gothic" w:cs="Arial"/>
                        <w:b/>
                        <w:bCs/>
                        <w:color w:val="F5333F"/>
                        <w:spacing w:val="-10"/>
                        <w:kern w:val="28"/>
                        <w:sz w:val="44"/>
                        <w:szCs w:val="44"/>
                      </w:rPr>
                      <w:t>SoP 3.6  - Rent Guarantees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762AB410" wp14:editId="6AE79F3D">
          <wp:simplePos x="0" y="0"/>
          <wp:positionH relativeFrom="column">
            <wp:posOffset>-922020</wp:posOffset>
          </wp:positionH>
          <wp:positionV relativeFrom="page">
            <wp:posOffset>-34925</wp:posOffset>
          </wp:positionV>
          <wp:extent cx="7574280" cy="2015490"/>
          <wp:effectExtent l="0" t="0" r="0" b="3810"/>
          <wp:wrapSquare wrapText="bothSides"/>
          <wp:docPr id="20348667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42596" name="Imagen 67174259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936" r="25489" b="8549"/>
                  <a:stretch/>
                </pic:blipFill>
                <pic:spPr bwMode="auto">
                  <a:xfrm>
                    <a:off x="0" y="0"/>
                    <a:ext cx="7574280" cy="2015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18C">
      <w:t xml:space="preserve">Rental Assistance </w:t>
    </w:r>
    <w:r w:rsidR="009C2301">
      <w:t>SoP 3.</w:t>
    </w:r>
    <w:r w:rsidR="002B48F9">
      <w:t>7</w:t>
    </w:r>
    <w:r w:rsidR="009C2301">
      <w:t xml:space="preserve"> –</w:t>
    </w:r>
    <w:r w:rsidR="00C8168F">
      <w:t xml:space="preserve"> </w:t>
    </w:r>
    <w:r w:rsidR="002B48F9">
      <w:t xml:space="preserve">Technical </w:t>
    </w:r>
    <w:r w:rsidR="00F2555C">
      <w:t>Advice</w:t>
    </w:r>
    <w:r w:rsidR="009D6CE7">
      <w:t xml:space="preserve"> as part of </w:t>
    </w:r>
    <w:r w:rsidR="009C2301">
      <w:t>Rental Assistance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1E05" w14:textId="662FA40C" w:rsidR="003B26B5" w:rsidRDefault="003B26B5">
    <w:pPr>
      <w:pStyle w:val="Header"/>
    </w:pPr>
    <w:r>
      <w:rPr>
        <w:rFonts w:ascii="Arial" w:hAnsi="Arial" w:cs="Arial"/>
        <w:b/>
        <w:b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DA1CF2" wp14:editId="59A74E91">
              <wp:simplePos x="0" y="0"/>
              <wp:positionH relativeFrom="column">
                <wp:posOffset>1562100</wp:posOffset>
              </wp:positionH>
              <wp:positionV relativeFrom="paragraph">
                <wp:posOffset>7620</wp:posOffset>
              </wp:positionV>
              <wp:extent cx="3962400" cy="1211580"/>
              <wp:effectExtent l="0" t="0" r="0" b="0"/>
              <wp:wrapNone/>
              <wp:docPr id="139989424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211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979417" w14:textId="71A7FAB5" w:rsidR="003B26B5" w:rsidRPr="009503F7" w:rsidRDefault="003B26B5" w:rsidP="003B26B5">
                          <w:pPr>
                            <w:rPr>
                              <w:color w:val="F5333F"/>
                            </w:rPr>
                          </w:pPr>
                          <w:r w:rsidRPr="007148CA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5333F"/>
                              <w:spacing w:val="-10"/>
                              <w:kern w:val="28"/>
                              <w:sz w:val="44"/>
                              <w:szCs w:val="44"/>
                            </w:rPr>
                            <w:t xml:space="preserve">Rental Assistance </w:t>
                          </w:r>
                          <w:r w:rsidRPr="003B26B5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5333F"/>
                              <w:spacing w:val="-10"/>
                              <w:kern w:val="28"/>
                              <w:sz w:val="44"/>
                              <w:szCs w:val="44"/>
                            </w:rPr>
                            <w:t>SoP 3.7  - Technical Advice as part of Rental Assistance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A1C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3pt;margin-top:.6pt;width:312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8ZGgIAADQ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" filled="f" stroked="f" strokeweight=".5pt">
              <v:textbox>
                <w:txbxContent>
                  <w:p w14:paraId="08979417" w14:textId="71A7FAB5" w:rsidR="003B26B5" w:rsidRPr="009503F7" w:rsidRDefault="003B26B5" w:rsidP="003B26B5">
                    <w:pPr>
                      <w:rPr>
                        <w:color w:val="F5333F"/>
                      </w:rPr>
                    </w:pPr>
                    <w:r w:rsidRPr="007148CA">
                      <w:rPr>
                        <w:rFonts w:ascii="Century Gothic" w:eastAsiaTheme="majorEastAsia" w:hAnsi="Century Gothic" w:cs="Arial"/>
                        <w:b/>
                        <w:bCs/>
                        <w:color w:val="F5333F"/>
                        <w:spacing w:val="-10"/>
                        <w:kern w:val="28"/>
                        <w:sz w:val="44"/>
                        <w:szCs w:val="44"/>
                      </w:rPr>
                      <w:t xml:space="preserve">Rental Assistance </w:t>
                    </w:r>
                    <w:r w:rsidRPr="003B26B5">
                      <w:rPr>
                        <w:rFonts w:ascii="Century Gothic" w:eastAsiaTheme="majorEastAsia" w:hAnsi="Century Gothic" w:cs="Arial"/>
                        <w:b/>
                        <w:bCs/>
                        <w:color w:val="F5333F"/>
                        <w:spacing w:val="-10"/>
                        <w:kern w:val="28"/>
                        <w:sz w:val="44"/>
                        <w:szCs w:val="44"/>
                      </w:rPr>
                      <w:t>SoP 3.7  - Technical Advice as part of Rental Assistance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19"/>
        <w:szCs w:val="19"/>
      </w:rPr>
      <w:drawing>
        <wp:anchor distT="0" distB="0" distL="114300" distR="114300" simplePos="0" relativeHeight="251662336" behindDoc="0" locked="0" layoutInCell="1" allowOverlap="1" wp14:anchorId="57A95957" wp14:editId="0F70A9BC">
          <wp:simplePos x="0" y="0"/>
          <wp:positionH relativeFrom="column">
            <wp:posOffset>-906780</wp:posOffset>
          </wp:positionH>
          <wp:positionV relativeFrom="page">
            <wp:posOffset>-34925</wp:posOffset>
          </wp:positionV>
          <wp:extent cx="7574280" cy="2015490"/>
          <wp:effectExtent l="0" t="0" r="0" b="3810"/>
          <wp:wrapSquare wrapText="bothSides"/>
          <wp:docPr id="603734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42596" name="Imagen 67174259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936" r="25489" b="8549"/>
                  <a:stretch/>
                </pic:blipFill>
                <pic:spPr bwMode="auto">
                  <a:xfrm>
                    <a:off x="0" y="0"/>
                    <a:ext cx="7574280" cy="2015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9A1"/>
    <w:multiLevelType w:val="hybridMultilevel"/>
    <w:tmpl w:val="B6E898AE"/>
    <w:lvl w:ilvl="0" w:tplc="94980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B5C5D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424E"/>
    <w:multiLevelType w:val="hybridMultilevel"/>
    <w:tmpl w:val="5B1490C8"/>
    <w:lvl w:ilvl="0" w:tplc="D64A64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C8A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C5E78"/>
    <w:multiLevelType w:val="hybridMultilevel"/>
    <w:tmpl w:val="F0660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05D6"/>
    <w:multiLevelType w:val="hybridMultilevel"/>
    <w:tmpl w:val="F54C0098"/>
    <w:lvl w:ilvl="0" w:tplc="7BC83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5749"/>
    <w:multiLevelType w:val="hybridMultilevel"/>
    <w:tmpl w:val="3796CF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8FA6EB1"/>
    <w:multiLevelType w:val="hybridMultilevel"/>
    <w:tmpl w:val="84AE7C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26628"/>
    <w:multiLevelType w:val="hybridMultilevel"/>
    <w:tmpl w:val="5C30FD2E"/>
    <w:lvl w:ilvl="0" w:tplc="763C4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B2F"/>
    <w:multiLevelType w:val="hybridMultilevel"/>
    <w:tmpl w:val="3FD2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64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40D"/>
    <w:multiLevelType w:val="hybridMultilevel"/>
    <w:tmpl w:val="8DF8DF2E"/>
    <w:lvl w:ilvl="0" w:tplc="94980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5B237D"/>
    <w:multiLevelType w:val="hybridMultilevel"/>
    <w:tmpl w:val="8D8A62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6B1F47"/>
    <w:multiLevelType w:val="hybridMultilevel"/>
    <w:tmpl w:val="3796CF98"/>
    <w:lvl w:ilvl="0" w:tplc="9B081D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4C6D73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640EC7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27E4C04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D1CE9C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2A60AF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6860C12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E2C538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5EA315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9E519E"/>
    <w:multiLevelType w:val="hybridMultilevel"/>
    <w:tmpl w:val="1262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3665"/>
    <w:multiLevelType w:val="hybridMultilevel"/>
    <w:tmpl w:val="002E45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7B42"/>
    <w:multiLevelType w:val="hybridMultilevel"/>
    <w:tmpl w:val="DC5C4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01539"/>
    <w:multiLevelType w:val="hybridMultilevel"/>
    <w:tmpl w:val="D79C2122"/>
    <w:lvl w:ilvl="0" w:tplc="94980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B547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B75D7B"/>
    <w:multiLevelType w:val="hybridMultilevel"/>
    <w:tmpl w:val="0004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26771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92618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453A60"/>
    <w:multiLevelType w:val="hybridMultilevel"/>
    <w:tmpl w:val="3FCCF93C"/>
    <w:lvl w:ilvl="0" w:tplc="ABB0F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32911"/>
    <w:multiLevelType w:val="hybridMultilevel"/>
    <w:tmpl w:val="A088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02AA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D0282"/>
    <w:multiLevelType w:val="hybridMultilevel"/>
    <w:tmpl w:val="D9588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D4BDC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036147"/>
    <w:multiLevelType w:val="hybridMultilevel"/>
    <w:tmpl w:val="78A8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27745"/>
    <w:multiLevelType w:val="hybridMultilevel"/>
    <w:tmpl w:val="DE9C8B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714CB"/>
    <w:multiLevelType w:val="hybridMultilevel"/>
    <w:tmpl w:val="E5B84678"/>
    <w:lvl w:ilvl="0" w:tplc="94980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A61F53"/>
    <w:multiLevelType w:val="hybridMultilevel"/>
    <w:tmpl w:val="30D81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56221">
    <w:abstractNumId w:val="15"/>
  </w:num>
  <w:num w:numId="2" w16cid:durableId="1307317685">
    <w:abstractNumId w:val="26"/>
  </w:num>
  <w:num w:numId="3" w16cid:durableId="1375888059">
    <w:abstractNumId w:val="12"/>
  </w:num>
  <w:num w:numId="4" w16cid:durableId="462117161">
    <w:abstractNumId w:val="14"/>
  </w:num>
  <w:num w:numId="5" w16cid:durableId="1171137479">
    <w:abstractNumId w:val="11"/>
  </w:num>
  <w:num w:numId="6" w16cid:durableId="2081638827">
    <w:abstractNumId w:val="2"/>
  </w:num>
  <w:num w:numId="7" w16cid:durableId="1869102553">
    <w:abstractNumId w:val="24"/>
  </w:num>
  <w:num w:numId="8" w16cid:durableId="1699771869">
    <w:abstractNumId w:val="6"/>
  </w:num>
  <w:num w:numId="9" w16cid:durableId="32118787">
    <w:abstractNumId w:val="20"/>
  </w:num>
  <w:num w:numId="10" w16cid:durableId="565803007">
    <w:abstractNumId w:val="1"/>
  </w:num>
  <w:num w:numId="11" w16cid:durableId="723526735">
    <w:abstractNumId w:val="3"/>
  </w:num>
  <w:num w:numId="12" w16cid:durableId="352607706">
    <w:abstractNumId w:val="19"/>
  </w:num>
  <w:num w:numId="13" w16cid:durableId="1140419985">
    <w:abstractNumId w:val="4"/>
  </w:num>
  <w:num w:numId="14" w16cid:durableId="1567229601">
    <w:abstractNumId w:val="17"/>
  </w:num>
  <w:num w:numId="15" w16cid:durableId="1326468700">
    <w:abstractNumId w:val="22"/>
  </w:num>
  <w:num w:numId="16" w16cid:durableId="927928885">
    <w:abstractNumId w:val="5"/>
  </w:num>
  <w:num w:numId="17" w16cid:durableId="241257114">
    <w:abstractNumId w:val="9"/>
  </w:num>
  <w:num w:numId="18" w16cid:durableId="806319170">
    <w:abstractNumId w:val="21"/>
  </w:num>
  <w:num w:numId="19" w16cid:durableId="690299248">
    <w:abstractNumId w:val="25"/>
  </w:num>
  <w:num w:numId="20" w16cid:durableId="1805460573">
    <w:abstractNumId w:val="8"/>
  </w:num>
  <w:num w:numId="21" w16cid:durableId="1836265871">
    <w:abstractNumId w:val="23"/>
  </w:num>
  <w:num w:numId="22" w16cid:durableId="276445886">
    <w:abstractNumId w:val="18"/>
  </w:num>
  <w:num w:numId="23" w16cid:durableId="609511421">
    <w:abstractNumId w:val="27"/>
  </w:num>
  <w:num w:numId="24" w16cid:durableId="301614174">
    <w:abstractNumId w:val="28"/>
  </w:num>
  <w:num w:numId="25" w16cid:durableId="733426897">
    <w:abstractNumId w:val="0"/>
  </w:num>
  <w:num w:numId="26" w16cid:durableId="707412219">
    <w:abstractNumId w:val="10"/>
  </w:num>
  <w:num w:numId="27" w16cid:durableId="1313409539">
    <w:abstractNumId w:val="16"/>
  </w:num>
  <w:num w:numId="28" w16cid:durableId="1203132932">
    <w:abstractNumId w:val="7"/>
  </w:num>
  <w:num w:numId="29" w16cid:durableId="14604915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A4"/>
    <w:rsid w:val="00011279"/>
    <w:rsid w:val="000342DF"/>
    <w:rsid w:val="00044139"/>
    <w:rsid w:val="00051C9E"/>
    <w:rsid w:val="00075681"/>
    <w:rsid w:val="00080DCB"/>
    <w:rsid w:val="000A78A5"/>
    <w:rsid w:val="000A7957"/>
    <w:rsid w:val="000D058A"/>
    <w:rsid w:val="000E3F2E"/>
    <w:rsid w:val="000F1B6B"/>
    <w:rsid w:val="000F406C"/>
    <w:rsid w:val="000F68F5"/>
    <w:rsid w:val="001301EF"/>
    <w:rsid w:val="001603F2"/>
    <w:rsid w:val="00167FA4"/>
    <w:rsid w:val="0017466D"/>
    <w:rsid w:val="00182F19"/>
    <w:rsid w:val="001B04E4"/>
    <w:rsid w:val="001B5964"/>
    <w:rsid w:val="001D6571"/>
    <w:rsid w:val="002006E0"/>
    <w:rsid w:val="00201318"/>
    <w:rsid w:val="00202E28"/>
    <w:rsid w:val="0020772C"/>
    <w:rsid w:val="00215ACA"/>
    <w:rsid w:val="00215ECC"/>
    <w:rsid w:val="00232D48"/>
    <w:rsid w:val="00236CD5"/>
    <w:rsid w:val="00237B51"/>
    <w:rsid w:val="0024264F"/>
    <w:rsid w:val="002544E8"/>
    <w:rsid w:val="00257CC1"/>
    <w:rsid w:val="002623CE"/>
    <w:rsid w:val="00267FE3"/>
    <w:rsid w:val="00274B75"/>
    <w:rsid w:val="002B196D"/>
    <w:rsid w:val="002B48F9"/>
    <w:rsid w:val="002F48DA"/>
    <w:rsid w:val="003221EE"/>
    <w:rsid w:val="00324020"/>
    <w:rsid w:val="00336862"/>
    <w:rsid w:val="00342D67"/>
    <w:rsid w:val="00354AEE"/>
    <w:rsid w:val="00365C3A"/>
    <w:rsid w:val="00392085"/>
    <w:rsid w:val="003A2066"/>
    <w:rsid w:val="003B00B6"/>
    <w:rsid w:val="003B26B5"/>
    <w:rsid w:val="003D735D"/>
    <w:rsid w:val="003E38BE"/>
    <w:rsid w:val="00407A9B"/>
    <w:rsid w:val="00416EF6"/>
    <w:rsid w:val="00424FAB"/>
    <w:rsid w:val="00427DC9"/>
    <w:rsid w:val="00440DE4"/>
    <w:rsid w:val="00460E1A"/>
    <w:rsid w:val="00475655"/>
    <w:rsid w:val="0048105F"/>
    <w:rsid w:val="004B0D29"/>
    <w:rsid w:val="004D2F0C"/>
    <w:rsid w:val="004F7259"/>
    <w:rsid w:val="0050200D"/>
    <w:rsid w:val="00513E6E"/>
    <w:rsid w:val="005270E6"/>
    <w:rsid w:val="0056069D"/>
    <w:rsid w:val="0058059E"/>
    <w:rsid w:val="00594170"/>
    <w:rsid w:val="00597956"/>
    <w:rsid w:val="005A1231"/>
    <w:rsid w:val="005A54DA"/>
    <w:rsid w:val="005B5102"/>
    <w:rsid w:val="005F218C"/>
    <w:rsid w:val="0061429F"/>
    <w:rsid w:val="0061552F"/>
    <w:rsid w:val="00617DF7"/>
    <w:rsid w:val="006378AC"/>
    <w:rsid w:val="006423C6"/>
    <w:rsid w:val="006653B8"/>
    <w:rsid w:val="00665755"/>
    <w:rsid w:val="006C4044"/>
    <w:rsid w:val="006D6CF5"/>
    <w:rsid w:val="006E4715"/>
    <w:rsid w:val="006E73BC"/>
    <w:rsid w:val="006F434D"/>
    <w:rsid w:val="006F743A"/>
    <w:rsid w:val="00703233"/>
    <w:rsid w:val="00704FA4"/>
    <w:rsid w:val="00705759"/>
    <w:rsid w:val="007103B2"/>
    <w:rsid w:val="00712AE8"/>
    <w:rsid w:val="00716759"/>
    <w:rsid w:val="00751BD9"/>
    <w:rsid w:val="00753E03"/>
    <w:rsid w:val="00755F71"/>
    <w:rsid w:val="00762C70"/>
    <w:rsid w:val="00763ED7"/>
    <w:rsid w:val="0077738D"/>
    <w:rsid w:val="00782D2C"/>
    <w:rsid w:val="007A3AE7"/>
    <w:rsid w:val="007A5E4D"/>
    <w:rsid w:val="007C1E8C"/>
    <w:rsid w:val="007D701D"/>
    <w:rsid w:val="007E0C97"/>
    <w:rsid w:val="007F1454"/>
    <w:rsid w:val="007F3C34"/>
    <w:rsid w:val="00811B62"/>
    <w:rsid w:val="0082181C"/>
    <w:rsid w:val="00821898"/>
    <w:rsid w:val="00826F2D"/>
    <w:rsid w:val="00827822"/>
    <w:rsid w:val="00847949"/>
    <w:rsid w:val="008503CD"/>
    <w:rsid w:val="008527D7"/>
    <w:rsid w:val="0085344E"/>
    <w:rsid w:val="00853E03"/>
    <w:rsid w:val="0085594B"/>
    <w:rsid w:val="0086595C"/>
    <w:rsid w:val="00870456"/>
    <w:rsid w:val="00875CB3"/>
    <w:rsid w:val="008964D7"/>
    <w:rsid w:val="008B0842"/>
    <w:rsid w:val="008B67F2"/>
    <w:rsid w:val="008D5351"/>
    <w:rsid w:val="008E1564"/>
    <w:rsid w:val="00902296"/>
    <w:rsid w:val="00902945"/>
    <w:rsid w:val="0092080E"/>
    <w:rsid w:val="009346DF"/>
    <w:rsid w:val="009358FC"/>
    <w:rsid w:val="00972F68"/>
    <w:rsid w:val="00976A9A"/>
    <w:rsid w:val="0098300D"/>
    <w:rsid w:val="009A1AF7"/>
    <w:rsid w:val="009A746F"/>
    <w:rsid w:val="009C2301"/>
    <w:rsid w:val="009C3DE0"/>
    <w:rsid w:val="009D6CE7"/>
    <w:rsid w:val="00A322F0"/>
    <w:rsid w:val="00A37009"/>
    <w:rsid w:val="00A46324"/>
    <w:rsid w:val="00A51EC1"/>
    <w:rsid w:val="00A6044C"/>
    <w:rsid w:val="00A60741"/>
    <w:rsid w:val="00A614AF"/>
    <w:rsid w:val="00A633D9"/>
    <w:rsid w:val="00A63602"/>
    <w:rsid w:val="00A80C34"/>
    <w:rsid w:val="00A9146E"/>
    <w:rsid w:val="00AB610D"/>
    <w:rsid w:val="00AE0E39"/>
    <w:rsid w:val="00B247D0"/>
    <w:rsid w:val="00B24AAC"/>
    <w:rsid w:val="00B273AF"/>
    <w:rsid w:val="00B35309"/>
    <w:rsid w:val="00B37FB8"/>
    <w:rsid w:val="00B5547A"/>
    <w:rsid w:val="00B6051F"/>
    <w:rsid w:val="00B659F0"/>
    <w:rsid w:val="00B80D1B"/>
    <w:rsid w:val="00B842F5"/>
    <w:rsid w:val="00BB3D9B"/>
    <w:rsid w:val="00BB47D1"/>
    <w:rsid w:val="00BF0AB2"/>
    <w:rsid w:val="00BF1A89"/>
    <w:rsid w:val="00BF2BC9"/>
    <w:rsid w:val="00BF52A4"/>
    <w:rsid w:val="00C10DFE"/>
    <w:rsid w:val="00C20037"/>
    <w:rsid w:val="00C248C7"/>
    <w:rsid w:val="00C302E7"/>
    <w:rsid w:val="00C37AC2"/>
    <w:rsid w:val="00C71696"/>
    <w:rsid w:val="00C8168F"/>
    <w:rsid w:val="00CB1A6A"/>
    <w:rsid w:val="00CB417B"/>
    <w:rsid w:val="00CB50B5"/>
    <w:rsid w:val="00CF27C9"/>
    <w:rsid w:val="00D12A21"/>
    <w:rsid w:val="00D12ECE"/>
    <w:rsid w:val="00D274FB"/>
    <w:rsid w:val="00D305EF"/>
    <w:rsid w:val="00D312B8"/>
    <w:rsid w:val="00D90B0D"/>
    <w:rsid w:val="00D92FBE"/>
    <w:rsid w:val="00D93A25"/>
    <w:rsid w:val="00DA51A2"/>
    <w:rsid w:val="00DE24E8"/>
    <w:rsid w:val="00DF1D15"/>
    <w:rsid w:val="00DF52A4"/>
    <w:rsid w:val="00DF6A92"/>
    <w:rsid w:val="00E11343"/>
    <w:rsid w:val="00E17AC9"/>
    <w:rsid w:val="00E23612"/>
    <w:rsid w:val="00E55730"/>
    <w:rsid w:val="00E6159B"/>
    <w:rsid w:val="00E61A41"/>
    <w:rsid w:val="00E94716"/>
    <w:rsid w:val="00EA0FAE"/>
    <w:rsid w:val="00EA1733"/>
    <w:rsid w:val="00EA22B4"/>
    <w:rsid w:val="00EB56DD"/>
    <w:rsid w:val="00EEDF99"/>
    <w:rsid w:val="00EF6E61"/>
    <w:rsid w:val="00F0238B"/>
    <w:rsid w:val="00F03EA0"/>
    <w:rsid w:val="00F14540"/>
    <w:rsid w:val="00F25281"/>
    <w:rsid w:val="00F2555C"/>
    <w:rsid w:val="00F43496"/>
    <w:rsid w:val="00F54247"/>
    <w:rsid w:val="00F94724"/>
    <w:rsid w:val="00FB0D36"/>
    <w:rsid w:val="00FB5EC4"/>
    <w:rsid w:val="00FC15BB"/>
    <w:rsid w:val="00FD4224"/>
    <w:rsid w:val="00FE35A9"/>
    <w:rsid w:val="00FF090E"/>
    <w:rsid w:val="00FF16B8"/>
    <w:rsid w:val="06F958A0"/>
    <w:rsid w:val="08C38C80"/>
    <w:rsid w:val="0BE8B192"/>
    <w:rsid w:val="101375BC"/>
    <w:rsid w:val="11D7D6E8"/>
    <w:rsid w:val="1242FE2A"/>
    <w:rsid w:val="138113E6"/>
    <w:rsid w:val="165575E4"/>
    <w:rsid w:val="17EF682A"/>
    <w:rsid w:val="19874F73"/>
    <w:rsid w:val="21A10730"/>
    <w:rsid w:val="224995B8"/>
    <w:rsid w:val="252D88FA"/>
    <w:rsid w:val="2880D4CC"/>
    <w:rsid w:val="2A389BF2"/>
    <w:rsid w:val="2BD46C53"/>
    <w:rsid w:val="3163FE94"/>
    <w:rsid w:val="33392105"/>
    <w:rsid w:val="34A1301F"/>
    <w:rsid w:val="360990C9"/>
    <w:rsid w:val="3BDAA34A"/>
    <w:rsid w:val="3E6BFEA1"/>
    <w:rsid w:val="40BE6BAA"/>
    <w:rsid w:val="41F13614"/>
    <w:rsid w:val="430A36FF"/>
    <w:rsid w:val="4641D7C1"/>
    <w:rsid w:val="49C7698E"/>
    <w:rsid w:val="5484620D"/>
    <w:rsid w:val="5DA1D7A5"/>
    <w:rsid w:val="5FE726C9"/>
    <w:rsid w:val="627548C8"/>
    <w:rsid w:val="645A2087"/>
    <w:rsid w:val="6962B862"/>
    <w:rsid w:val="6AFD3235"/>
    <w:rsid w:val="717A592D"/>
    <w:rsid w:val="73DAC79C"/>
    <w:rsid w:val="7741DAC2"/>
    <w:rsid w:val="785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6D398"/>
  <w15:chartTrackingRefBased/>
  <w15:docId w15:val="{2D13EE23-8D9C-4A06-A99B-E14D35D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3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EF"/>
  </w:style>
  <w:style w:type="paragraph" w:styleId="Footer">
    <w:name w:val="footer"/>
    <w:basedOn w:val="Normal"/>
    <w:link w:val="Foot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EF"/>
  </w:style>
  <w:style w:type="character" w:customStyle="1" w:styleId="Heading2Char">
    <w:name w:val="Heading 2 Char"/>
    <w:basedOn w:val="DefaultParagraphFont"/>
    <w:link w:val="Heading2"/>
    <w:uiPriority w:val="9"/>
    <w:rsid w:val="001301EF"/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1301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01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01EF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0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4540"/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5351"/>
    <w:rPr>
      <w:rFonts w:asciiTheme="majorHAnsi" w:eastAsiaTheme="majorEastAsia" w:hAnsiTheme="majorHAnsi" w:cstheme="majorBidi"/>
      <w:color w:val="FF0000"/>
    </w:rPr>
  </w:style>
  <w:style w:type="paragraph" w:styleId="Revision">
    <w:name w:val="Revision"/>
    <w:hidden/>
    <w:uiPriority w:val="99"/>
    <w:semiHidden/>
    <w:rsid w:val="007103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103B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5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6D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7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74B75"/>
    <w:rPr>
      <w:b/>
      <w:bCs/>
    </w:rPr>
  </w:style>
  <w:style w:type="character" w:customStyle="1" w:styleId="normaltextrun">
    <w:name w:val="normaltextrun"/>
    <w:basedOn w:val="DefaultParagraphFont"/>
    <w:rsid w:val="00BB47D1"/>
  </w:style>
  <w:style w:type="character" w:customStyle="1" w:styleId="A5">
    <w:name w:val="A5"/>
    <w:uiPriority w:val="99"/>
    <w:rsid w:val="00B659F0"/>
    <w:rPr>
      <w:rFonts w:cs="Open Sans Light"/>
      <w:color w:val="000000"/>
      <w:sz w:val="19"/>
      <w:szCs w:val="19"/>
    </w:rPr>
  </w:style>
  <w:style w:type="character" w:customStyle="1" w:styleId="A7">
    <w:name w:val="A7"/>
    <w:uiPriority w:val="99"/>
    <w:rsid w:val="00751BD9"/>
    <w:rPr>
      <w:rFonts w:cs="Open Sans Light"/>
      <w:color w:val="000000"/>
      <w:sz w:val="14"/>
      <w:szCs w:val="14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A32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B484C-37BE-4E35-9BBB-D97205BD6F34}"/>
</file>

<file path=customXml/itemProps2.xml><?xml version="1.0" encoding="utf-8"?>
<ds:datastoreItem xmlns:ds="http://schemas.openxmlformats.org/officeDocument/2006/customXml" ds:itemID="{CF2AE76D-FB55-426D-A25D-6C2F7EDBF039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customXml/itemProps3.xml><?xml version="1.0" encoding="utf-8"?>
<ds:datastoreItem xmlns:ds="http://schemas.openxmlformats.org/officeDocument/2006/customXml" ds:itemID="{7B068257-FDBD-4A01-8A29-42BF8D3EA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DALGADO</dc:creator>
  <cp:keywords/>
  <dc:description/>
  <cp:lastModifiedBy>Leeanne Marshall</cp:lastModifiedBy>
  <cp:revision>7</cp:revision>
  <dcterms:created xsi:type="dcterms:W3CDTF">2024-05-20T17:57:00Z</dcterms:created>
  <dcterms:modified xsi:type="dcterms:W3CDTF">2024-06-21T04:16:00Z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ClassificationContentMarkingFooterShapeIds">
    <vt:lpwstr>1,15,17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2023-04-06T10:56:29Z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5dd2d289-eb2f-4373-b481-fc5bd21d5b23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  <property fmtid="{D5CDD505-2E9C-101B-9397-08002B2CF9AE}" pid="14" name="GrammarlyDocumentId">
    <vt:lpwstr>14a2a5afe3c82bf30b00415b81a3bff607b7e1e056ba1111094791b99980271e</vt:lpwstr>
  </property>
</Properties>
</file>