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6F20BC42" w:rsidR="00977F30" w:rsidRPr="005052AF" w:rsidRDefault="001301EF" w:rsidP="005052AF">
      <w:pPr>
        <w:pStyle w:val="Heading2"/>
        <w:tabs>
          <w:tab w:val="left" w:pos="2364"/>
        </w:tabs>
        <w:jc w:val="both"/>
        <w:rPr>
          <w:rFonts w:ascii="Century Gothic" w:hAnsi="Century Gothic" w:cs="Arial"/>
          <w:b/>
          <w:bCs/>
          <w:color w:val="F5333F"/>
          <w:sz w:val="22"/>
          <w:szCs w:val="22"/>
        </w:rPr>
      </w:pPr>
      <w:r w:rsidRPr="005052AF">
        <w:rPr>
          <w:rFonts w:ascii="Century Gothic" w:hAnsi="Century Gothic" w:cs="Arial"/>
          <w:b/>
          <w:bCs/>
          <w:color w:val="F5333F"/>
          <w:sz w:val="22"/>
          <w:szCs w:val="22"/>
        </w:rPr>
        <w:t>Introduction</w:t>
      </w:r>
    </w:p>
    <w:p w14:paraId="24666410" w14:textId="0127AFFF" w:rsidR="004E75F6" w:rsidRPr="005052AF" w:rsidRDefault="005052AF" w:rsidP="005052AF">
      <w:pPr>
        <w:jc w:val="both"/>
        <w:rPr>
          <w:rFonts w:ascii="Arial" w:hAnsi="Arial" w:cs="Arial"/>
          <w:sz w:val="19"/>
          <w:szCs w:val="19"/>
        </w:rPr>
      </w:pPr>
      <w:r>
        <w:rPr>
          <w:rFonts w:ascii="Arial" w:hAnsi="Arial" w:cs="Arial"/>
          <w:sz w:val="19"/>
          <w:szCs w:val="19"/>
        </w:rPr>
        <w:br/>
      </w:r>
      <w:r w:rsidR="00073510" w:rsidRPr="005052AF">
        <w:rPr>
          <w:rFonts w:ascii="Arial" w:hAnsi="Arial" w:cs="Arial"/>
          <w:sz w:val="19"/>
          <w:szCs w:val="19"/>
        </w:rPr>
        <w:t>Throughout the design, implementation and monitoring of the programme</w:t>
      </w:r>
      <w:r w:rsidR="002B02A0">
        <w:rPr>
          <w:rFonts w:ascii="Arial" w:hAnsi="Arial" w:cs="Arial"/>
          <w:sz w:val="19"/>
          <w:szCs w:val="19"/>
        </w:rPr>
        <w:t>,</w:t>
      </w:r>
      <w:r w:rsidR="00073510" w:rsidRPr="005052AF">
        <w:rPr>
          <w:rFonts w:ascii="Arial" w:hAnsi="Arial" w:cs="Arial"/>
          <w:sz w:val="19"/>
          <w:szCs w:val="19"/>
        </w:rPr>
        <w:t xml:space="preserve"> a risk assessment will need to be developed and kept updated.</w:t>
      </w:r>
    </w:p>
    <w:p w14:paraId="26A25254" w14:textId="77777777" w:rsidR="00D86854" w:rsidRPr="005052AF" w:rsidRDefault="00073510" w:rsidP="005052AF">
      <w:pPr>
        <w:jc w:val="both"/>
        <w:rPr>
          <w:rFonts w:ascii="Arial" w:hAnsi="Arial" w:cs="Arial"/>
          <w:sz w:val="19"/>
          <w:szCs w:val="19"/>
        </w:rPr>
      </w:pPr>
      <w:r w:rsidRPr="005052AF">
        <w:rPr>
          <w:rFonts w:ascii="Arial" w:hAnsi="Arial" w:cs="Arial"/>
          <w:sz w:val="19"/>
          <w:szCs w:val="19"/>
        </w:rPr>
        <w:t xml:space="preserve">During the context analysis phase, it will be useful to identify </w:t>
      </w:r>
      <w:r w:rsidR="00D86854" w:rsidRPr="005052AF">
        <w:rPr>
          <w:rFonts w:ascii="Arial" w:hAnsi="Arial" w:cs="Arial"/>
          <w:sz w:val="19"/>
          <w:szCs w:val="19"/>
        </w:rPr>
        <w:t xml:space="preserve">and list out </w:t>
      </w:r>
      <w:r w:rsidRPr="005052AF">
        <w:rPr>
          <w:rFonts w:ascii="Arial" w:hAnsi="Arial" w:cs="Arial"/>
          <w:sz w:val="19"/>
          <w:szCs w:val="19"/>
        </w:rPr>
        <w:t xml:space="preserve">the high-level risks that could arise from rental assistance programming. </w:t>
      </w:r>
    </w:p>
    <w:p w14:paraId="19EC81A3" w14:textId="0C3F3EF7" w:rsidR="00977F30" w:rsidRPr="005052AF" w:rsidRDefault="00D86854" w:rsidP="005052AF">
      <w:pPr>
        <w:jc w:val="both"/>
        <w:rPr>
          <w:rFonts w:ascii="Arial" w:hAnsi="Arial" w:cs="Arial"/>
          <w:sz w:val="19"/>
          <w:szCs w:val="19"/>
        </w:rPr>
      </w:pPr>
      <w:r w:rsidRPr="005052AF">
        <w:rPr>
          <w:rFonts w:ascii="Arial" w:hAnsi="Arial" w:cs="Arial"/>
          <w:sz w:val="19"/>
          <w:szCs w:val="19"/>
        </w:rPr>
        <w:t>The output for this</w:t>
      </w:r>
      <w:r w:rsidR="00073510" w:rsidRPr="005052AF">
        <w:rPr>
          <w:rFonts w:ascii="Arial" w:hAnsi="Arial" w:cs="Arial"/>
          <w:sz w:val="19"/>
          <w:szCs w:val="19"/>
        </w:rPr>
        <w:t xml:space="preserve"> may only be 1 or 2 pages long</w:t>
      </w:r>
      <w:r w:rsidRPr="005052AF">
        <w:rPr>
          <w:rFonts w:ascii="Arial" w:hAnsi="Arial" w:cs="Arial"/>
          <w:sz w:val="19"/>
          <w:szCs w:val="19"/>
        </w:rPr>
        <w:t xml:space="preserve"> and consist of a list of the top-line risks</w:t>
      </w:r>
      <w:r w:rsidR="00977F30" w:rsidRPr="005052AF">
        <w:rPr>
          <w:rFonts w:ascii="Arial" w:hAnsi="Arial" w:cs="Arial"/>
          <w:sz w:val="19"/>
          <w:szCs w:val="19"/>
        </w:rPr>
        <w:t>. At this stage focus on the risks</w:t>
      </w:r>
      <w:r w:rsidR="002B02A0">
        <w:rPr>
          <w:rFonts w:ascii="Arial" w:hAnsi="Arial" w:cs="Arial"/>
          <w:sz w:val="19"/>
          <w:szCs w:val="19"/>
        </w:rPr>
        <w:t xml:space="preserve"> themselves</w:t>
      </w:r>
      <w:r w:rsidR="00977F30" w:rsidRPr="005052AF">
        <w:rPr>
          <w:rFonts w:ascii="Arial" w:hAnsi="Arial" w:cs="Arial"/>
          <w:sz w:val="19"/>
          <w:szCs w:val="19"/>
        </w:rPr>
        <w:t xml:space="preserve">, however, </w:t>
      </w:r>
      <w:r w:rsidR="5E3F2FDF" w:rsidRPr="005052AF">
        <w:rPr>
          <w:rFonts w:ascii="Arial" w:hAnsi="Arial" w:cs="Arial"/>
          <w:sz w:val="19"/>
          <w:szCs w:val="19"/>
        </w:rPr>
        <w:t>you</w:t>
      </w:r>
      <w:r w:rsidRPr="005052AF">
        <w:rPr>
          <w:rFonts w:ascii="Arial" w:hAnsi="Arial" w:cs="Arial"/>
          <w:sz w:val="19"/>
          <w:szCs w:val="19"/>
        </w:rPr>
        <w:t xml:space="preserve"> </w:t>
      </w:r>
      <w:r w:rsidR="00977F30" w:rsidRPr="005052AF">
        <w:rPr>
          <w:rFonts w:ascii="Arial" w:hAnsi="Arial" w:cs="Arial"/>
          <w:sz w:val="19"/>
          <w:szCs w:val="19"/>
        </w:rPr>
        <w:t xml:space="preserve">may </w:t>
      </w:r>
      <w:r w:rsidRPr="005052AF">
        <w:rPr>
          <w:rFonts w:ascii="Arial" w:hAnsi="Arial" w:cs="Arial"/>
          <w:sz w:val="19"/>
          <w:szCs w:val="19"/>
        </w:rPr>
        <w:t>potentially</w:t>
      </w:r>
      <w:r w:rsidR="00977F30" w:rsidRPr="005052AF">
        <w:rPr>
          <w:rFonts w:ascii="Arial" w:hAnsi="Arial" w:cs="Arial"/>
          <w:sz w:val="19"/>
          <w:szCs w:val="19"/>
        </w:rPr>
        <w:t xml:space="preserve"> want to</w:t>
      </w:r>
      <w:r w:rsidRPr="005052AF">
        <w:rPr>
          <w:rFonts w:ascii="Arial" w:hAnsi="Arial" w:cs="Arial"/>
          <w:sz w:val="19"/>
          <w:szCs w:val="19"/>
        </w:rPr>
        <w:t xml:space="preserve"> bullet point how you might manage or mitigate these risks</w:t>
      </w:r>
      <w:r w:rsidR="00073510" w:rsidRPr="005052AF">
        <w:rPr>
          <w:rFonts w:ascii="Arial" w:hAnsi="Arial" w:cs="Arial"/>
          <w:sz w:val="19"/>
          <w:szCs w:val="19"/>
        </w:rPr>
        <w:t xml:space="preserve">. </w:t>
      </w:r>
      <w:r w:rsidR="00977F30" w:rsidRPr="005052AF">
        <w:rPr>
          <w:rFonts w:ascii="Arial" w:hAnsi="Arial" w:cs="Arial"/>
          <w:sz w:val="19"/>
          <w:szCs w:val="19"/>
        </w:rPr>
        <w:t xml:space="preserve">Nevertheless, mitigations </w:t>
      </w:r>
      <w:r w:rsidR="00BC4E94" w:rsidRPr="005052AF">
        <w:rPr>
          <w:rFonts w:ascii="Arial" w:hAnsi="Arial" w:cs="Arial"/>
          <w:sz w:val="19"/>
          <w:szCs w:val="19"/>
        </w:rPr>
        <w:t>are discussed</w:t>
      </w:r>
      <w:r w:rsidR="00977F30" w:rsidRPr="005052AF">
        <w:rPr>
          <w:rFonts w:ascii="Arial" w:hAnsi="Arial" w:cs="Arial"/>
          <w:sz w:val="19"/>
          <w:szCs w:val="19"/>
        </w:rPr>
        <w:t xml:space="preserve"> more in SoP 2.1.9 Risk Analysis &amp; Mitigation.</w:t>
      </w:r>
    </w:p>
    <w:p w14:paraId="36A6251B" w14:textId="1A67C490" w:rsidR="00D86854" w:rsidRPr="005052AF" w:rsidRDefault="00073510" w:rsidP="005052AF">
      <w:pPr>
        <w:jc w:val="both"/>
        <w:rPr>
          <w:rFonts w:ascii="Arial" w:hAnsi="Arial" w:cs="Arial"/>
          <w:sz w:val="19"/>
          <w:szCs w:val="19"/>
        </w:rPr>
      </w:pPr>
      <w:r w:rsidRPr="005052AF">
        <w:rPr>
          <w:rFonts w:ascii="Arial" w:hAnsi="Arial" w:cs="Arial"/>
          <w:sz w:val="19"/>
          <w:szCs w:val="19"/>
        </w:rPr>
        <w:t>It can be useful to reflect on these risks with some RC staff members familiar with programming for displaced people and ideally familiar with renting and the rental market</w:t>
      </w:r>
      <w:r w:rsidR="00D86854" w:rsidRPr="005052AF">
        <w:rPr>
          <w:rFonts w:ascii="Arial" w:hAnsi="Arial" w:cs="Arial"/>
          <w:sz w:val="19"/>
          <w:szCs w:val="19"/>
        </w:rPr>
        <w:t>.</w:t>
      </w:r>
    </w:p>
    <w:p w14:paraId="419DCE7F" w14:textId="215CFB4F" w:rsidR="00BD71B3" w:rsidRPr="005052AF" w:rsidRDefault="00073510" w:rsidP="005052AF">
      <w:pPr>
        <w:pStyle w:val="Heading1"/>
        <w:jc w:val="both"/>
        <w:rPr>
          <w:rFonts w:ascii="Century Gothic" w:hAnsi="Century Gothic" w:cs="Arial"/>
          <w:b/>
          <w:bCs/>
          <w:color w:val="F5333F"/>
          <w:sz w:val="22"/>
          <w:szCs w:val="22"/>
        </w:rPr>
      </w:pPr>
      <w:r w:rsidRPr="005052AF">
        <w:rPr>
          <w:rFonts w:ascii="Century Gothic" w:hAnsi="Century Gothic" w:cs="Arial"/>
          <w:b/>
          <w:bCs/>
          <w:color w:val="F5333F"/>
          <w:sz w:val="22"/>
          <w:szCs w:val="22"/>
        </w:rPr>
        <w:t>Considerations for Inclusion in Risk Assessment</w:t>
      </w:r>
    </w:p>
    <w:p w14:paraId="64F557E7" w14:textId="4027776D" w:rsidR="00073510" w:rsidRPr="005052AF" w:rsidRDefault="005052AF" w:rsidP="005052AF">
      <w:pPr>
        <w:jc w:val="both"/>
        <w:rPr>
          <w:rFonts w:ascii="Arial" w:hAnsi="Arial" w:cs="Arial"/>
          <w:sz w:val="19"/>
          <w:szCs w:val="19"/>
        </w:rPr>
      </w:pPr>
      <w:r>
        <w:rPr>
          <w:rFonts w:ascii="Arial" w:hAnsi="Arial" w:cs="Arial"/>
          <w:sz w:val="19"/>
          <w:szCs w:val="19"/>
        </w:rPr>
        <w:br/>
      </w:r>
      <w:r w:rsidR="00073510" w:rsidRPr="005052AF">
        <w:rPr>
          <w:rFonts w:ascii="Arial" w:hAnsi="Arial" w:cs="Arial"/>
          <w:sz w:val="19"/>
          <w:szCs w:val="19"/>
        </w:rPr>
        <w:t xml:space="preserve">The </w:t>
      </w:r>
      <w:hyperlink r:id="rId11" w:tgtFrame="_blank" w:history="1">
        <w:r w:rsidR="00073510" w:rsidRPr="005052AF">
          <w:rPr>
            <w:rStyle w:val="normaltextrun"/>
            <w:rFonts w:ascii="Arial" w:eastAsiaTheme="majorEastAsia" w:hAnsi="Arial" w:cs="Arial"/>
            <w:color w:val="0563C1"/>
            <w:sz w:val="19"/>
            <w:szCs w:val="19"/>
            <w:u w:val="single"/>
          </w:rPr>
          <w:t>IFRC (2020) Step-by-step guide for rental assistance to people affected by crisis</w:t>
        </w:r>
      </w:hyperlink>
      <w:r w:rsidR="00073510" w:rsidRPr="005052AF">
        <w:rPr>
          <w:rFonts w:ascii="Arial" w:hAnsi="Arial" w:cs="Arial"/>
          <w:sz w:val="19"/>
          <w:szCs w:val="19"/>
        </w:rPr>
        <w:t xml:space="preserve"> , step 1, sub-step 8 guide gives a range of example considerations, which have been partially reproduced here for completeness.</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1980"/>
        <w:gridCol w:w="7036"/>
      </w:tblGrid>
      <w:tr w:rsidR="005052AF" w:rsidRPr="005052AF" w14:paraId="1FA01408" w14:textId="77777777" w:rsidTr="005052AF">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2922E3AD" w14:textId="384425E8" w:rsidR="00073510" w:rsidRPr="005052AF" w:rsidRDefault="00073510" w:rsidP="005052AF">
            <w:pPr>
              <w:jc w:val="both"/>
              <w:rPr>
                <w:rFonts w:ascii="Arial" w:hAnsi="Arial" w:cs="Arial"/>
                <w:b/>
                <w:bCs/>
                <w:color w:val="FFFFFF" w:themeColor="background1"/>
                <w:sz w:val="19"/>
                <w:szCs w:val="19"/>
              </w:rPr>
            </w:pPr>
            <w:r w:rsidRPr="005052AF">
              <w:rPr>
                <w:rFonts w:ascii="Arial" w:hAnsi="Arial" w:cs="Arial"/>
                <w:b/>
                <w:bCs/>
                <w:color w:val="FFFFFF" w:themeColor="background1"/>
                <w:sz w:val="19"/>
                <w:szCs w:val="19"/>
              </w:rPr>
              <w:t>Category</w:t>
            </w:r>
          </w:p>
        </w:tc>
        <w:tc>
          <w:tcPr>
            <w:tcW w:w="7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333F"/>
          </w:tcPr>
          <w:p w14:paraId="3A851C6B" w14:textId="4CD2C12E" w:rsidR="00073510" w:rsidRPr="005052AF" w:rsidRDefault="00073510" w:rsidP="005052AF">
            <w:pPr>
              <w:jc w:val="both"/>
              <w:rPr>
                <w:rFonts w:ascii="Arial" w:hAnsi="Arial" w:cs="Arial"/>
                <w:b/>
                <w:bCs/>
                <w:color w:val="FFFFFF" w:themeColor="background1"/>
                <w:sz w:val="19"/>
                <w:szCs w:val="19"/>
              </w:rPr>
            </w:pPr>
            <w:r w:rsidRPr="005052AF">
              <w:rPr>
                <w:rFonts w:ascii="Arial" w:hAnsi="Arial" w:cs="Arial"/>
                <w:b/>
                <w:bCs/>
                <w:color w:val="FFFFFF" w:themeColor="background1"/>
                <w:sz w:val="19"/>
                <w:szCs w:val="19"/>
              </w:rPr>
              <w:t>Consideration</w:t>
            </w:r>
          </w:p>
        </w:tc>
      </w:tr>
      <w:tr w:rsidR="00073510" w:rsidRPr="005052AF" w14:paraId="11F7F38E" w14:textId="77777777" w:rsidTr="005052AF">
        <w:tc>
          <w:tcPr>
            <w:tcW w:w="1980" w:type="dxa"/>
            <w:tcBorders>
              <w:top w:val="single" w:sz="4" w:space="0" w:color="FFFFFF" w:themeColor="background1"/>
            </w:tcBorders>
          </w:tcPr>
          <w:p w14:paraId="5B2D449B" w14:textId="6B30785A" w:rsidR="00073510" w:rsidRPr="005052AF" w:rsidRDefault="00073510" w:rsidP="005052AF">
            <w:pPr>
              <w:jc w:val="both"/>
              <w:rPr>
                <w:rFonts w:ascii="Arial" w:hAnsi="Arial" w:cs="Arial"/>
                <w:sz w:val="19"/>
                <w:szCs w:val="19"/>
              </w:rPr>
            </w:pPr>
            <w:r w:rsidRPr="005052AF">
              <w:rPr>
                <w:rFonts w:ascii="Arial" w:hAnsi="Arial" w:cs="Arial"/>
                <w:sz w:val="19"/>
                <w:szCs w:val="19"/>
              </w:rPr>
              <w:t>Programme objectives</w:t>
            </w:r>
          </w:p>
        </w:tc>
        <w:tc>
          <w:tcPr>
            <w:tcW w:w="7036" w:type="dxa"/>
            <w:tcBorders>
              <w:top w:val="single" w:sz="4" w:space="0" w:color="FFFFFF" w:themeColor="background1"/>
            </w:tcBorders>
          </w:tcPr>
          <w:p w14:paraId="72ADD602" w14:textId="7E07DF7F" w:rsidR="00073510" w:rsidRPr="005052AF" w:rsidRDefault="00073510" w:rsidP="005052AF">
            <w:pPr>
              <w:jc w:val="both"/>
              <w:rPr>
                <w:rFonts w:ascii="Arial" w:hAnsi="Arial" w:cs="Arial"/>
                <w:sz w:val="19"/>
                <w:szCs w:val="19"/>
              </w:rPr>
            </w:pPr>
            <w:r w:rsidRPr="005052AF">
              <w:rPr>
                <w:rFonts w:ascii="Arial" w:hAnsi="Arial" w:cs="Arial"/>
                <w:sz w:val="19"/>
                <w:szCs w:val="19"/>
              </w:rPr>
              <w:t>Shelter risks (target population can only access inadequate rental properties) related to limited availability of accommodation meeting minimum adequacy standards on the market.</w:t>
            </w:r>
          </w:p>
        </w:tc>
      </w:tr>
      <w:tr w:rsidR="00D86854" w:rsidRPr="005052AF" w14:paraId="43AAADDD" w14:textId="77777777" w:rsidTr="005052AF">
        <w:tc>
          <w:tcPr>
            <w:tcW w:w="1980" w:type="dxa"/>
            <w:shd w:val="clear" w:color="auto" w:fill="FEF5F4"/>
          </w:tcPr>
          <w:p w14:paraId="6AD0DFF3" w14:textId="108E5BF6" w:rsidR="00D86854" w:rsidRPr="005052AF" w:rsidRDefault="00D86854" w:rsidP="005052AF">
            <w:pPr>
              <w:jc w:val="both"/>
              <w:rPr>
                <w:rFonts w:ascii="Arial" w:hAnsi="Arial" w:cs="Arial"/>
                <w:sz w:val="19"/>
                <w:szCs w:val="19"/>
              </w:rPr>
            </w:pPr>
            <w:r w:rsidRPr="005052AF">
              <w:rPr>
                <w:rFonts w:ascii="Arial" w:hAnsi="Arial" w:cs="Arial"/>
                <w:sz w:val="19"/>
                <w:szCs w:val="19"/>
              </w:rPr>
              <w:t>Programme objectives</w:t>
            </w:r>
          </w:p>
        </w:tc>
        <w:tc>
          <w:tcPr>
            <w:tcW w:w="7036" w:type="dxa"/>
            <w:shd w:val="clear" w:color="auto" w:fill="FEF5F4"/>
          </w:tcPr>
          <w:p w14:paraId="6A2C61A4" w14:textId="63AC3A43" w:rsidR="00D86854" w:rsidRPr="005052AF" w:rsidRDefault="00D86854" w:rsidP="005052AF">
            <w:pPr>
              <w:jc w:val="both"/>
              <w:rPr>
                <w:rFonts w:ascii="Arial" w:hAnsi="Arial" w:cs="Arial"/>
                <w:sz w:val="19"/>
                <w:szCs w:val="19"/>
              </w:rPr>
            </w:pPr>
            <w:r w:rsidRPr="005052AF">
              <w:rPr>
                <w:rFonts w:ascii="Arial" w:hAnsi="Arial" w:cs="Arial"/>
                <w:sz w:val="19"/>
                <w:szCs w:val="19"/>
              </w:rPr>
              <w:t>Significant increase in further displacement such that absorption capacity in programme and in rental market is severely compromised.</w:t>
            </w:r>
          </w:p>
        </w:tc>
      </w:tr>
      <w:tr w:rsidR="00D86854" w:rsidRPr="005052AF" w14:paraId="71584ABF" w14:textId="77777777" w:rsidTr="005052AF">
        <w:tc>
          <w:tcPr>
            <w:tcW w:w="1980" w:type="dxa"/>
          </w:tcPr>
          <w:p w14:paraId="06734785" w14:textId="4E30FDBB" w:rsidR="00D86854" w:rsidRPr="005052AF" w:rsidRDefault="00D86854" w:rsidP="005052AF">
            <w:pPr>
              <w:jc w:val="both"/>
              <w:rPr>
                <w:rFonts w:ascii="Arial" w:hAnsi="Arial" w:cs="Arial"/>
                <w:sz w:val="19"/>
                <w:szCs w:val="19"/>
              </w:rPr>
            </w:pPr>
            <w:r w:rsidRPr="005052AF">
              <w:rPr>
                <w:rFonts w:ascii="Arial" w:hAnsi="Arial" w:cs="Arial"/>
                <w:sz w:val="19"/>
                <w:szCs w:val="19"/>
              </w:rPr>
              <w:t>Exit</w:t>
            </w:r>
          </w:p>
        </w:tc>
        <w:tc>
          <w:tcPr>
            <w:tcW w:w="7036" w:type="dxa"/>
          </w:tcPr>
          <w:p w14:paraId="0F8B62C1" w14:textId="662B28EE" w:rsidR="00D86854" w:rsidRPr="005052AF" w:rsidRDefault="00D86854" w:rsidP="005052AF">
            <w:pPr>
              <w:jc w:val="both"/>
              <w:rPr>
                <w:rFonts w:ascii="Arial" w:hAnsi="Arial" w:cs="Arial"/>
                <w:sz w:val="19"/>
                <w:szCs w:val="19"/>
              </w:rPr>
            </w:pPr>
            <w:r w:rsidRPr="005052AF">
              <w:rPr>
                <w:rFonts w:ascii="Arial" w:hAnsi="Arial" w:cs="Arial"/>
                <w:sz w:val="19"/>
                <w:szCs w:val="19"/>
              </w:rPr>
              <w:t xml:space="preserve">There is limited viable exit (from programme support) strategy for many different sub-groups in the target population (e.g. the elderly who </w:t>
            </w:r>
            <w:r w:rsidR="00E77D99" w:rsidRPr="005052AF">
              <w:rPr>
                <w:rFonts w:ascii="Arial" w:hAnsi="Arial" w:cs="Arial"/>
                <w:sz w:val="19"/>
                <w:szCs w:val="19"/>
              </w:rPr>
              <w:t>cannot</w:t>
            </w:r>
            <w:r w:rsidRPr="005052AF">
              <w:rPr>
                <w:rFonts w:ascii="Arial" w:hAnsi="Arial" w:cs="Arial"/>
                <w:sz w:val="19"/>
                <w:szCs w:val="19"/>
              </w:rPr>
              <w:t xml:space="preserve"> work or return to their homes).</w:t>
            </w:r>
          </w:p>
        </w:tc>
      </w:tr>
      <w:tr w:rsidR="00D86854" w:rsidRPr="005052AF" w14:paraId="0BFE0D08" w14:textId="77777777" w:rsidTr="005052AF">
        <w:tc>
          <w:tcPr>
            <w:tcW w:w="1980" w:type="dxa"/>
            <w:shd w:val="clear" w:color="auto" w:fill="FEF5F4"/>
          </w:tcPr>
          <w:p w14:paraId="7047468E" w14:textId="7D2F97DC" w:rsidR="00D86854" w:rsidRPr="005052AF" w:rsidRDefault="00D86854" w:rsidP="005052AF">
            <w:pPr>
              <w:jc w:val="both"/>
              <w:rPr>
                <w:rFonts w:ascii="Arial" w:hAnsi="Arial" w:cs="Arial"/>
                <w:sz w:val="19"/>
                <w:szCs w:val="19"/>
              </w:rPr>
            </w:pPr>
            <w:r w:rsidRPr="005052AF">
              <w:rPr>
                <w:rFonts w:ascii="Arial" w:hAnsi="Arial" w:cs="Arial"/>
                <w:sz w:val="19"/>
                <w:szCs w:val="19"/>
              </w:rPr>
              <w:t>Rental Market &amp; Social Tensions</w:t>
            </w:r>
          </w:p>
        </w:tc>
        <w:tc>
          <w:tcPr>
            <w:tcW w:w="7036" w:type="dxa"/>
            <w:shd w:val="clear" w:color="auto" w:fill="FEF5F4"/>
          </w:tcPr>
          <w:p w14:paraId="796AA9B9" w14:textId="1822F3C2" w:rsidR="00D86854" w:rsidRPr="005052AF" w:rsidRDefault="00D86854" w:rsidP="005052AF">
            <w:pPr>
              <w:jc w:val="both"/>
              <w:rPr>
                <w:rFonts w:ascii="Arial" w:hAnsi="Arial" w:cs="Arial"/>
                <w:sz w:val="19"/>
                <w:szCs w:val="19"/>
              </w:rPr>
            </w:pPr>
            <w:r w:rsidRPr="005052AF">
              <w:rPr>
                <w:rFonts w:ascii="Arial" w:hAnsi="Arial" w:cs="Arial"/>
                <w:sz w:val="19"/>
                <w:szCs w:val="19"/>
              </w:rPr>
              <w:t>Risks of inflation if there are few adequate rental accommodation units available on the market.</w:t>
            </w:r>
          </w:p>
        </w:tc>
      </w:tr>
      <w:tr w:rsidR="00D86854" w:rsidRPr="005052AF" w14:paraId="078E9681" w14:textId="77777777" w:rsidTr="005052AF">
        <w:tc>
          <w:tcPr>
            <w:tcW w:w="1980" w:type="dxa"/>
          </w:tcPr>
          <w:p w14:paraId="2C4691E5" w14:textId="4A3F5D2D" w:rsidR="00D86854" w:rsidRPr="005052AF" w:rsidRDefault="00D86854" w:rsidP="005052AF">
            <w:pPr>
              <w:jc w:val="both"/>
              <w:rPr>
                <w:rFonts w:ascii="Arial" w:hAnsi="Arial" w:cs="Arial"/>
                <w:sz w:val="19"/>
                <w:szCs w:val="19"/>
              </w:rPr>
            </w:pPr>
            <w:r w:rsidRPr="005052AF">
              <w:rPr>
                <w:rFonts w:ascii="Arial" w:hAnsi="Arial" w:cs="Arial"/>
                <w:sz w:val="19"/>
                <w:szCs w:val="19"/>
              </w:rPr>
              <w:t>Rental Market</w:t>
            </w:r>
          </w:p>
        </w:tc>
        <w:tc>
          <w:tcPr>
            <w:tcW w:w="7036" w:type="dxa"/>
          </w:tcPr>
          <w:p w14:paraId="2A57DB8E" w14:textId="0FEE0D41" w:rsidR="00D86854" w:rsidRPr="005052AF" w:rsidRDefault="00D86854" w:rsidP="005052AF">
            <w:pPr>
              <w:jc w:val="both"/>
              <w:rPr>
                <w:rFonts w:ascii="Arial" w:hAnsi="Arial" w:cs="Arial"/>
                <w:sz w:val="19"/>
                <w:szCs w:val="19"/>
              </w:rPr>
            </w:pPr>
            <w:r w:rsidRPr="005052AF">
              <w:rPr>
                <w:rFonts w:ascii="Arial" w:hAnsi="Arial" w:cs="Arial"/>
                <w:sz w:val="19"/>
                <w:szCs w:val="19"/>
              </w:rPr>
              <w:t>If only a few people or families own much of the rental property on the market, there may be an increased risk of fraud and corruption if payments are made directly to property owners or service providers.</w:t>
            </w:r>
          </w:p>
        </w:tc>
      </w:tr>
      <w:tr w:rsidR="00D86854" w:rsidRPr="005052AF" w14:paraId="067E6F93" w14:textId="77777777" w:rsidTr="005052AF">
        <w:tc>
          <w:tcPr>
            <w:tcW w:w="1980" w:type="dxa"/>
            <w:shd w:val="clear" w:color="auto" w:fill="FEF5F4"/>
          </w:tcPr>
          <w:p w14:paraId="04308405" w14:textId="57010E86" w:rsidR="00D86854" w:rsidRPr="005052AF" w:rsidRDefault="00D86854" w:rsidP="005052AF">
            <w:pPr>
              <w:jc w:val="both"/>
              <w:rPr>
                <w:rFonts w:ascii="Arial" w:hAnsi="Arial" w:cs="Arial"/>
                <w:sz w:val="19"/>
                <w:szCs w:val="19"/>
              </w:rPr>
            </w:pPr>
            <w:r w:rsidRPr="005052AF">
              <w:rPr>
                <w:rFonts w:ascii="Arial" w:hAnsi="Arial" w:cs="Arial"/>
                <w:sz w:val="19"/>
                <w:szCs w:val="19"/>
              </w:rPr>
              <w:t>Government Policy</w:t>
            </w:r>
          </w:p>
        </w:tc>
        <w:tc>
          <w:tcPr>
            <w:tcW w:w="7036" w:type="dxa"/>
            <w:shd w:val="clear" w:color="auto" w:fill="FEF5F4"/>
          </w:tcPr>
          <w:p w14:paraId="54456D49" w14:textId="1343671D" w:rsidR="00D86854" w:rsidRPr="005052AF" w:rsidRDefault="00D86854" w:rsidP="005052AF">
            <w:pPr>
              <w:pStyle w:val="Pa44"/>
              <w:jc w:val="both"/>
              <w:rPr>
                <w:rFonts w:ascii="Arial" w:hAnsi="Arial" w:cs="Arial"/>
                <w:kern w:val="2"/>
                <w:sz w:val="19"/>
                <w:szCs w:val="19"/>
              </w:rPr>
            </w:pPr>
            <w:r w:rsidRPr="005052AF">
              <w:rPr>
                <w:rFonts w:ascii="Arial" w:hAnsi="Arial" w:cs="Arial"/>
                <w:kern w:val="2"/>
                <w:sz w:val="19"/>
                <w:szCs w:val="19"/>
              </w:rPr>
              <w:t>Government does not allow transfer of significant sums</w:t>
            </w:r>
            <w:r w:rsidR="00471F04" w:rsidRPr="005052AF">
              <w:rPr>
                <w:rFonts w:ascii="Arial" w:hAnsi="Arial" w:cs="Arial"/>
                <w:kern w:val="2"/>
                <w:sz w:val="19"/>
                <w:szCs w:val="19"/>
              </w:rPr>
              <w:t xml:space="preserve"> of </w:t>
            </w:r>
            <w:r w:rsidR="00E77D99">
              <w:rPr>
                <w:rFonts w:ascii="Arial" w:hAnsi="Arial" w:cs="Arial"/>
                <w:kern w:val="2"/>
                <w:sz w:val="19"/>
                <w:szCs w:val="19"/>
              </w:rPr>
              <w:t>c</w:t>
            </w:r>
            <w:r w:rsidR="00471F04" w:rsidRPr="005052AF">
              <w:rPr>
                <w:rFonts w:ascii="Arial" w:hAnsi="Arial" w:cs="Arial"/>
                <w:kern w:val="2"/>
                <w:sz w:val="19"/>
                <w:szCs w:val="19"/>
              </w:rPr>
              <w:t xml:space="preserve">ash and </w:t>
            </w:r>
            <w:r w:rsidR="00E77D99">
              <w:rPr>
                <w:rFonts w:ascii="Arial" w:hAnsi="Arial" w:cs="Arial"/>
                <w:kern w:val="2"/>
                <w:sz w:val="19"/>
                <w:szCs w:val="19"/>
              </w:rPr>
              <w:t>v</w:t>
            </w:r>
            <w:r w:rsidR="00471F04" w:rsidRPr="005052AF">
              <w:rPr>
                <w:rFonts w:ascii="Arial" w:hAnsi="Arial" w:cs="Arial"/>
                <w:kern w:val="2"/>
                <w:sz w:val="19"/>
                <w:szCs w:val="19"/>
              </w:rPr>
              <w:t xml:space="preserve">oucher </w:t>
            </w:r>
            <w:r w:rsidR="00E77D99">
              <w:rPr>
                <w:rFonts w:ascii="Arial" w:hAnsi="Arial" w:cs="Arial"/>
                <w:kern w:val="2"/>
                <w:sz w:val="19"/>
                <w:szCs w:val="19"/>
              </w:rPr>
              <w:t>a</w:t>
            </w:r>
            <w:r w:rsidR="00471F04" w:rsidRPr="005052AF">
              <w:rPr>
                <w:rFonts w:ascii="Arial" w:hAnsi="Arial" w:cs="Arial"/>
                <w:kern w:val="2"/>
                <w:sz w:val="19"/>
                <w:szCs w:val="19"/>
              </w:rPr>
              <w:t>ssistance (CVA)</w:t>
            </w:r>
            <w:r w:rsidRPr="005052AF">
              <w:rPr>
                <w:rFonts w:ascii="Arial" w:hAnsi="Arial" w:cs="Arial"/>
                <w:kern w:val="2"/>
                <w:sz w:val="19"/>
                <w:szCs w:val="19"/>
              </w:rPr>
              <w:t xml:space="preserve"> to allow support </w:t>
            </w:r>
            <w:r w:rsidR="00471F04" w:rsidRPr="005052AF">
              <w:rPr>
                <w:rFonts w:ascii="Arial" w:hAnsi="Arial" w:cs="Arial"/>
                <w:kern w:val="2"/>
                <w:sz w:val="19"/>
                <w:szCs w:val="19"/>
              </w:rPr>
              <w:t>to the target population (prospective tenant)</w:t>
            </w:r>
            <w:r w:rsidRPr="005052AF">
              <w:rPr>
                <w:rFonts w:ascii="Arial" w:hAnsi="Arial" w:cs="Arial"/>
                <w:kern w:val="2"/>
                <w:sz w:val="19"/>
                <w:szCs w:val="19"/>
              </w:rPr>
              <w:t xml:space="preserve"> with rental payments. To mitigate this an alternative rental assistance approach </w:t>
            </w:r>
            <w:r w:rsidR="00471F04" w:rsidRPr="005052AF">
              <w:rPr>
                <w:rFonts w:ascii="Arial" w:hAnsi="Arial" w:cs="Arial"/>
                <w:kern w:val="2"/>
                <w:sz w:val="19"/>
                <w:szCs w:val="19"/>
              </w:rPr>
              <w:t>may be</w:t>
            </w:r>
            <w:r w:rsidRPr="005052AF">
              <w:rPr>
                <w:rFonts w:ascii="Arial" w:hAnsi="Arial" w:cs="Arial"/>
                <w:kern w:val="2"/>
                <w:sz w:val="19"/>
                <w:szCs w:val="19"/>
              </w:rPr>
              <w:t xml:space="preserve"> necessary</w:t>
            </w:r>
            <w:r w:rsidR="00484C48" w:rsidRPr="005052AF">
              <w:rPr>
                <w:rFonts w:ascii="Arial" w:hAnsi="Arial" w:cs="Arial"/>
                <w:kern w:val="2"/>
                <w:sz w:val="19"/>
                <w:szCs w:val="19"/>
              </w:rPr>
              <w:t xml:space="preserve">, as for example </w:t>
            </w:r>
            <w:r w:rsidR="00573167" w:rsidRPr="005052AF">
              <w:rPr>
                <w:rFonts w:ascii="Arial" w:hAnsi="Arial" w:cs="Arial"/>
                <w:kern w:val="2"/>
                <w:sz w:val="19"/>
                <w:szCs w:val="19"/>
              </w:rPr>
              <w:t>transferring the rental payment directly to the owner instead</w:t>
            </w:r>
            <w:r w:rsidRPr="005052AF">
              <w:rPr>
                <w:rFonts w:ascii="Arial" w:hAnsi="Arial" w:cs="Arial"/>
                <w:kern w:val="2"/>
                <w:sz w:val="19"/>
                <w:szCs w:val="19"/>
              </w:rPr>
              <w:t>.</w:t>
            </w:r>
          </w:p>
        </w:tc>
      </w:tr>
      <w:tr w:rsidR="00D86854" w:rsidRPr="005052AF" w14:paraId="02B01D74" w14:textId="77777777" w:rsidTr="005052AF">
        <w:tc>
          <w:tcPr>
            <w:tcW w:w="1980" w:type="dxa"/>
          </w:tcPr>
          <w:p w14:paraId="3B8B1D04" w14:textId="0E3AE81E" w:rsidR="00D86854" w:rsidRPr="005052AF" w:rsidRDefault="00D86854" w:rsidP="005052AF">
            <w:pPr>
              <w:jc w:val="both"/>
              <w:rPr>
                <w:rFonts w:ascii="Arial" w:hAnsi="Arial" w:cs="Arial"/>
                <w:sz w:val="19"/>
                <w:szCs w:val="19"/>
              </w:rPr>
            </w:pPr>
            <w:r w:rsidRPr="005052AF">
              <w:rPr>
                <w:rFonts w:ascii="Arial" w:hAnsi="Arial" w:cs="Arial"/>
                <w:sz w:val="19"/>
                <w:szCs w:val="19"/>
              </w:rPr>
              <w:t>Integrity</w:t>
            </w:r>
          </w:p>
        </w:tc>
        <w:tc>
          <w:tcPr>
            <w:tcW w:w="7036" w:type="dxa"/>
          </w:tcPr>
          <w:p w14:paraId="3861FAB9" w14:textId="77777777" w:rsidR="00D86854" w:rsidRPr="005052AF" w:rsidRDefault="00D86854" w:rsidP="005052AF">
            <w:pPr>
              <w:pStyle w:val="Pa44"/>
              <w:jc w:val="both"/>
              <w:rPr>
                <w:rFonts w:ascii="Arial" w:hAnsi="Arial" w:cs="Arial"/>
                <w:kern w:val="2"/>
                <w:sz w:val="19"/>
                <w:szCs w:val="19"/>
              </w:rPr>
            </w:pPr>
            <w:r w:rsidRPr="005052AF">
              <w:rPr>
                <w:rFonts w:ascii="Arial" w:hAnsi="Arial" w:cs="Arial"/>
                <w:kern w:val="2"/>
                <w:sz w:val="19"/>
                <w:szCs w:val="19"/>
              </w:rPr>
              <w:t xml:space="preserve">Given that the financial amounts may be quite large for rental programming, is there an increased risk of corruption and are their adequate financial systems and processes in place to minimise these? </w:t>
            </w:r>
          </w:p>
          <w:p w14:paraId="62E4E849" w14:textId="77777777" w:rsidR="00D86854" w:rsidRPr="005052AF" w:rsidRDefault="00D86854" w:rsidP="005052AF">
            <w:pPr>
              <w:jc w:val="both"/>
              <w:rPr>
                <w:rFonts w:ascii="Arial" w:hAnsi="Arial" w:cs="Arial"/>
                <w:sz w:val="19"/>
                <w:szCs w:val="19"/>
              </w:rPr>
            </w:pPr>
          </w:p>
        </w:tc>
      </w:tr>
      <w:tr w:rsidR="00D86854" w:rsidRPr="005052AF" w14:paraId="16968FC9" w14:textId="77777777" w:rsidTr="005052AF">
        <w:tc>
          <w:tcPr>
            <w:tcW w:w="1980" w:type="dxa"/>
            <w:shd w:val="clear" w:color="auto" w:fill="FEF5F4"/>
          </w:tcPr>
          <w:p w14:paraId="79C62F4D" w14:textId="4C9B9E35" w:rsidR="00D86854" w:rsidRPr="005052AF" w:rsidRDefault="00D86854" w:rsidP="005052AF">
            <w:pPr>
              <w:jc w:val="both"/>
              <w:rPr>
                <w:rFonts w:ascii="Arial" w:hAnsi="Arial" w:cs="Arial"/>
                <w:sz w:val="19"/>
                <w:szCs w:val="19"/>
              </w:rPr>
            </w:pPr>
            <w:r w:rsidRPr="005052AF">
              <w:rPr>
                <w:rFonts w:ascii="Arial" w:hAnsi="Arial" w:cs="Arial"/>
                <w:sz w:val="19"/>
                <w:szCs w:val="19"/>
              </w:rPr>
              <w:t>CVA</w:t>
            </w:r>
          </w:p>
        </w:tc>
        <w:tc>
          <w:tcPr>
            <w:tcW w:w="7036" w:type="dxa"/>
            <w:shd w:val="clear" w:color="auto" w:fill="FEF5F4"/>
          </w:tcPr>
          <w:p w14:paraId="4311A292" w14:textId="3F8B8F45" w:rsidR="00D86854" w:rsidRPr="005052AF" w:rsidRDefault="00D86854" w:rsidP="005052AF">
            <w:pPr>
              <w:pStyle w:val="Pa44"/>
              <w:jc w:val="both"/>
              <w:rPr>
                <w:rFonts w:ascii="Arial" w:hAnsi="Arial" w:cs="Arial"/>
                <w:kern w:val="2"/>
                <w:sz w:val="19"/>
                <w:szCs w:val="19"/>
              </w:rPr>
            </w:pPr>
            <w:r w:rsidRPr="005052AF">
              <w:rPr>
                <w:rFonts w:ascii="Arial" w:hAnsi="Arial" w:cs="Arial"/>
                <w:kern w:val="2"/>
                <w:sz w:val="19"/>
                <w:szCs w:val="19"/>
              </w:rPr>
              <w:t>RC internal finance systems are not adequate to support a rental programme and make timely payments to tenants to allow timely payments to property owners.</w:t>
            </w:r>
          </w:p>
        </w:tc>
      </w:tr>
      <w:tr w:rsidR="00D86854" w:rsidRPr="005052AF" w14:paraId="4BE7EC69" w14:textId="77777777" w:rsidTr="005052AF">
        <w:tc>
          <w:tcPr>
            <w:tcW w:w="1980" w:type="dxa"/>
          </w:tcPr>
          <w:p w14:paraId="396691F4" w14:textId="42B29F7E" w:rsidR="00D86854" w:rsidRPr="005052AF" w:rsidRDefault="00D86854" w:rsidP="005052AF">
            <w:pPr>
              <w:jc w:val="both"/>
              <w:rPr>
                <w:rFonts w:ascii="Arial" w:hAnsi="Arial" w:cs="Arial"/>
                <w:sz w:val="19"/>
                <w:szCs w:val="19"/>
              </w:rPr>
            </w:pPr>
            <w:r w:rsidRPr="005052AF">
              <w:rPr>
                <w:rFonts w:ascii="Arial" w:hAnsi="Arial" w:cs="Arial"/>
                <w:sz w:val="19"/>
                <w:szCs w:val="19"/>
              </w:rPr>
              <w:t>CVA</w:t>
            </w:r>
          </w:p>
        </w:tc>
        <w:tc>
          <w:tcPr>
            <w:tcW w:w="7036" w:type="dxa"/>
          </w:tcPr>
          <w:p w14:paraId="2EFA1AEE" w14:textId="36CDC792" w:rsidR="00D86854" w:rsidRPr="005052AF" w:rsidRDefault="00D86854" w:rsidP="005052AF">
            <w:pPr>
              <w:pStyle w:val="Pa44"/>
              <w:jc w:val="both"/>
              <w:rPr>
                <w:rFonts w:ascii="Arial" w:hAnsi="Arial" w:cs="Arial"/>
                <w:sz w:val="19"/>
                <w:szCs w:val="19"/>
              </w:rPr>
            </w:pPr>
            <w:r w:rsidRPr="005052AF">
              <w:rPr>
                <w:rFonts w:ascii="Arial" w:hAnsi="Arial" w:cs="Arial"/>
                <w:kern w:val="2"/>
                <w:sz w:val="19"/>
                <w:szCs w:val="19"/>
              </w:rPr>
              <w:t xml:space="preserve">Access to financial services (including coverage) is not adequate to support the programme (especially if rental payments are to be made through a conditional CVA modality to the targeted affected people). This can be mitigated by diversifying the rental payment transfer mechanism. </w:t>
            </w:r>
          </w:p>
        </w:tc>
      </w:tr>
      <w:tr w:rsidR="00D86854" w:rsidRPr="005052AF" w14:paraId="743ED856" w14:textId="77777777" w:rsidTr="005052AF">
        <w:tc>
          <w:tcPr>
            <w:tcW w:w="1980" w:type="dxa"/>
            <w:shd w:val="clear" w:color="auto" w:fill="FEF5F4"/>
          </w:tcPr>
          <w:p w14:paraId="1B654AB8" w14:textId="07743CB7" w:rsidR="00D86854" w:rsidRPr="005052AF" w:rsidRDefault="00D86854" w:rsidP="005052AF">
            <w:pPr>
              <w:jc w:val="both"/>
              <w:rPr>
                <w:rFonts w:ascii="Arial" w:hAnsi="Arial" w:cs="Arial"/>
                <w:sz w:val="19"/>
                <w:szCs w:val="19"/>
              </w:rPr>
            </w:pPr>
            <w:r w:rsidRPr="005052AF">
              <w:rPr>
                <w:rFonts w:ascii="Arial" w:hAnsi="Arial" w:cs="Arial"/>
                <w:sz w:val="19"/>
                <w:szCs w:val="19"/>
              </w:rPr>
              <w:t>Protection</w:t>
            </w:r>
          </w:p>
        </w:tc>
        <w:tc>
          <w:tcPr>
            <w:tcW w:w="7036" w:type="dxa"/>
            <w:shd w:val="clear" w:color="auto" w:fill="FEF5F4"/>
          </w:tcPr>
          <w:p w14:paraId="17F02EC4" w14:textId="3BAD1D08" w:rsidR="00D86854" w:rsidRPr="005052AF" w:rsidRDefault="00D86854" w:rsidP="005052AF">
            <w:pPr>
              <w:pStyle w:val="Pa44"/>
              <w:jc w:val="both"/>
              <w:rPr>
                <w:rFonts w:ascii="Arial" w:hAnsi="Arial" w:cs="Arial"/>
                <w:kern w:val="2"/>
                <w:sz w:val="19"/>
                <w:szCs w:val="19"/>
              </w:rPr>
            </w:pPr>
            <w:r w:rsidRPr="005052AF">
              <w:rPr>
                <w:rFonts w:ascii="Arial" w:hAnsi="Arial" w:cs="Arial"/>
                <w:kern w:val="2"/>
                <w:sz w:val="19"/>
                <w:szCs w:val="19"/>
              </w:rPr>
              <w:t xml:space="preserve">Could intra-family tensions be created when the conditional CVA for the rental payment is transferred to the recipient. </w:t>
            </w:r>
          </w:p>
        </w:tc>
      </w:tr>
      <w:tr w:rsidR="00D86854" w:rsidRPr="005052AF" w14:paraId="7B4277A1" w14:textId="77777777" w:rsidTr="005052AF">
        <w:tc>
          <w:tcPr>
            <w:tcW w:w="1980" w:type="dxa"/>
          </w:tcPr>
          <w:p w14:paraId="63270D64" w14:textId="03E70E28" w:rsidR="00D86854" w:rsidRPr="005052AF" w:rsidRDefault="00D86854" w:rsidP="005052AF">
            <w:pPr>
              <w:jc w:val="both"/>
              <w:rPr>
                <w:rFonts w:ascii="Arial" w:hAnsi="Arial" w:cs="Arial"/>
                <w:sz w:val="19"/>
                <w:szCs w:val="19"/>
              </w:rPr>
            </w:pPr>
            <w:r w:rsidRPr="005052AF">
              <w:rPr>
                <w:rFonts w:ascii="Arial" w:hAnsi="Arial" w:cs="Arial"/>
                <w:sz w:val="19"/>
                <w:szCs w:val="19"/>
              </w:rPr>
              <w:lastRenderedPageBreak/>
              <w:t>Protection</w:t>
            </w:r>
          </w:p>
        </w:tc>
        <w:tc>
          <w:tcPr>
            <w:tcW w:w="7036" w:type="dxa"/>
          </w:tcPr>
          <w:p w14:paraId="6C39AA2D" w14:textId="56353B9C" w:rsidR="00D86854" w:rsidRPr="005052AF" w:rsidRDefault="00D86854" w:rsidP="005052AF">
            <w:pPr>
              <w:jc w:val="both"/>
              <w:rPr>
                <w:rFonts w:ascii="Arial" w:hAnsi="Arial" w:cs="Arial"/>
                <w:sz w:val="19"/>
                <w:szCs w:val="19"/>
              </w:rPr>
            </w:pPr>
            <w:r w:rsidRPr="005052AF">
              <w:rPr>
                <w:rFonts w:ascii="Arial" w:hAnsi="Arial" w:cs="Arial"/>
                <w:sz w:val="19"/>
                <w:szCs w:val="19"/>
              </w:rPr>
              <w:t>Increased tension between host and hosted (potentially due to competition over resources). Can mitigate through good CEA and incorporation of a % of host community.</w:t>
            </w:r>
          </w:p>
        </w:tc>
      </w:tr>
      <w:tr w:rsidR="00D86854" w:rsidRPr="005052AF" w14:paraId="53626416" w14:textId="77777777" w:rsidTr="005052AF">
        <w:tc>
          <w:tcPr>
            <w:tcW w:w="1980" w:type="dxa"/>
            <w:shd w:val="clear" w:color="auto" w:fill="FEF5F4"/>
          </w:tcPr>
          <w:p w14:paraId="58889341" w14:textId="5216D0FF" w:rsidR="00D86854" w:rsidRPr="005052AF" w:rsidRDefault="00D86854" w:rsidP="005052AF">
            <w:pPr>
              <w:jc w:val="both"/>
              <w:rPr>
                <w:rFonts w:ascii="Arial" w:hAnsi="Arial" w:cs="Arial"/>
                <w:sz w:val="19"/>
                <w:szCs w:val="19"/>
              </w:rPr>
            </w:pPr>
            <w:r w:rsidRPr="005052AF">
              <w:rPr>
                <w:rFonts w:ascii="Arial" w:hAnsi="Arial" w:cs="Arial"/>
                <w:sz w:val="19"/>
                <w:szCs w:val="19"/>
              </w:rPr>
              <w:t>Protection</w:t>
            </w:r>
          </w:p>
        </w:tc>
        <w:tc>
          <w:tcPr>
            <w:tcW w:w="7036" w:type="dxa"/>
            <w:shd w:val="clear" w:color="auto" w:fill="FEF5F4"/>
          </w:tcPr>
          <w:p w14:paraId="0A860B0B" w14:textId="1CD307CD" w:rsidR="00D86854" w:rsidRPr="005052AF" w:rsidRDefault="00D86854" w:rsidP="005052AF">
            <w:pPr>
              <w:jc w:val="both"/>
              <w:rPr>
                <w:rFonts w:ascii="Arial" w:hAnsi="Arial" w:cs="Arial"/>
                <w:sz w:val="19"/>
                <w:szCs w:val="19"/>
              </w:rPr>
            </w:pPr>
            <w:r w:rsidRPr="005052AF">
              <w:rPr>
                <w:rFonts w:ascii="Arial" w:hAnsi="Arial" w:cs="Arial"/>
                <w:sz w:val="19"/>
                <w:szCs w:val="19"/>
              </w:rPr>
              <w:t>Discrimination, xenophobia and bias against the target population or specific vulnerable groups (those with cognitive, self-care or communication impairments, or the LGBTQ</w:t>
            </w:r>
            <w:r w:rsidR="180FC7EA" w:rsidRPr="005052AF">
              <w:rPr>
                <w:rFonts w:ascii="Arial" w:hAnsi="Arial" w:cs="Arial"/>
                <w:sz w:val="19"/>
                <w:szCs w:val="19"/>
              </w:rPr>
              <w:t>IA</w:t>
            </w:r>
            <w:r w:rsidRPr="005052AF">
              <w:rPr>
                <w:rFonts w:ascii="Arial" w:hAnsi="Arial" w:cs="Arial"/>
                <w:sz w:val="19"/>
                <w:szCs w:val="19"/>
              </w:rPr>
              <w:t xml:space="preserve"> community or Roma community).</w:t>
            </w:r>
          </w:p>
        </w:tc>
      </w:tr>
      <w:tr w:rsidR="00D86854" w:rsidRPr="005052AF" w14:paraId="7A9FF3A0" w14:textId="77777777" w:rsidTr="005052AF">
        <w:tc>
          <w:tcPr>
            <w:tcW w:w="1980" w:type="dxa"/>
          </w:tcPr>
          <w:p w14:paraId="3A4C4BF9" w14:textId="3D8E83B4" w:rsidR="00D86854" w:rsidRPr="005052AF" w:rsidRDefault="00D86854" w:rsidP="005052AF">
            <w:pPr>
              <w:jc w:val="both"/>
              <w:rPr>
                <w:rFonts w:ascii="Arial" w:hAnsi="Arial" w:cs="Arial"/>
                <w:sz w:val="19"/>
                <w:szCs w:val="19"/>
              </w:rPr>
            </w:pPr>
            <w:r w:rsidRPr="005052AF">
              <w:rPr>
                <w:rFonts w:ascii="Arial" w:hAnsi="Arial" w:cs="Arial"/>
                <w:sz w:val="19"/>
                <w:szCs w:val="19"/>
              </w:rPr>
              <w:t>Protection</w:t>
            </w:r>
          </w:p>
        </w:tc>
        <w:tc>
          <w:tcPr>
            <w:tcW w:w="7036" w:type="dxa"/>
          </w:tcPr>
          <w:p w14:paraId="1C0B5A9D" w14:textId="3F4BF6BF" w:rsidR="00D86854" w:rsidRPr="005052AF" w:rsidRDefault="00D86854" w:rsidP="005052AF">
            <w:pPr>
              <w:jc w:val="both"/>
              <w:rPr>
                <w:rFonts w:ascii="Arial" w:hAnsi="Arial" w:cs="Arial"/>
                <w:sz w:val="19"/>
                <w:szCs w:val="19"/>
              </w:rPr>
            </w:pPr>
            <w:r w:rsidRPr="005052AF">
              <w:rPr>
                <w:rFonts w:ascii="Arial" w:hAnsi="Arial" w:cs="Arial"/>
                <w:sz w:val="19"/>
                <w:szCs w:val="19"/>
              </w:rPr>
              <w:t>Security of Tenure risks – risks of illegal eviction</w:t>
            </w:r>
          </w:p>
        </w:tc>
      </w:tr>
      <w:tr w:rsidR="00D86854" w:rsidRPr="005052AF" w14:paraId="3A6342AC" w14:textId="77777777" w:rsidTr="005052AF">
        <w:tc>
          <w:tcPr>
            <w:tcW w:w="1980" w:type="dxa"/>
            <w:shd w:val="clear" w:color="auto" w:fill="FEF5F4"/>
          </w:tcPr>
          <w:p w14:paraId="7960D54A" w14:textId="338D7486" w:rsidR="00D86854" w:rsidRPr="005052AF" w:rsidRDefault="00D86854" w:rsidP="005052AF">
            <w:pPr>
              <w:jc w:val="both"/>
              <w:rPr>
                <w:rFonts w:ascii="Arial" w:hAnsi="Arial" w:cs="Arial"/>
                <w:sz w:val="19"/>
                <w:szCs w:val="19"/>
              </w:rPr>
            </w:pPr>
            <w:r w:rsidRPr="005052AF">
              <w:rPr>
                <w:rFonts w:ascii="Arial" w:hAnsi="Arial" w:cs="Arial"/>
                <w:sz w:val="19"/>
                <w:szCs w:val="19"/>
              </w:rPr>
              <w:t>Protection</w:t>
            </w:r>
          </w:p>
        </w:tc>
        <w:tc>
          <w:tcPr>
            <w:tcW w:w="7036" w:type="dxa"/>
            <w:shd w:val="clear" w:color="auto" w:fill="FEF5F4"/>
          </w:tcPr>
          <w:p w14:paraId="12E37098" w14:textId="60729EE1" w:rsidR="00D86854" w:rsidRPr="005052AF" w:rsidRDefault="00D86854" w:rsidP="005052AF">
            <w:pPr>
              <w:jc w:val="both"/>
              <w:rPr>
                <w:rFonts w:ascii="Arial" w:hAnsi="Arial" w:cs="Arial"/>
                <w:sz w:val="19"/>
                <w:szCs w:val="19"/>
              </w:rPr>
            </w:pPr>
            <w:r w:rsidRPr="005052AF">
              <w:rPr>
                <w:rFonts w:ascii="Arial" w:hAnsi="Arial" w:cs="Arial"/>
                <w:sz w:val="19"/>
                <w:szCs w:val="19"/>
              </w:rPr>
              <w:t>Perceived impartiality risks – supporting one group over another</w:t>
            </w:r>
          </w:p>
        </w:tc>
      </w:tr>
      <w:tr w:rsidR="00D86854" w:rsidRPr="005052AF" w14:paraId="7554D5DA" w14:textId="77777777" w:rsidTr="005052AF">
        <w:tc>
          <w:tcPr>
            <w:tcW w:w="1980" w:type="dxa"/>
          </w:tcPr>
          <w:p w14:paraId="1B9261F7" w14:textId="5D854C45" w:rsidR="00D86854" w:rsidRPr="005052AF" w:rsidRDefault="00D86854" w:rsidP="005052AF">
            <w:pPr>
              <w:jc w:val="both"/>
              <w:rPr>
                <w:rFonts w:ascii="Arial" w:hAnsi="Arial" w:cs="Arial"/>
                <w:sz w:val="19"/>
                <w:szCs w:val="19"/>
              </w:rPr>
            </w:pPr>
            <w:r w:rsidRPr="005052AF">
              <w:rPr>
                <w:rFonts w:ascii="Arial" w:hAnsi="Arial" w:cs="Arial"/>
                <w:sz w:val="19"/>
                <w:szCs w:val="19"/>
              </w:rPr>
              <w:t>Protection</w:t>
            </w:r>
          </w:p>
        </w:tc>
        <w:tc>
          <w:tcPr>
            <w:tcW w:w="7036" w:type="dxa"/>
          </w:tcPr>
          <w:p w14:paraId="59C4FE18" w14:textId="707B81C7" w:rsidR="00D86854" w:rsidRPr="005052AF" w:rsidRDefault="00D86854" w:rsidP="005052AF">
            <w:pPr>
              <w:jc w:val="both"/>
              <w:rPr>
                <w:rFonts w:ascii="Arial" w:hAnsi="Arial" w:cs="Arial"/>
                <w:sz w:val="19"/>
                <w:szCs w:val="19"/>
              </w:rPr>
            </w:pPr>
            <w:r w:rsidRPr="005052AF">
              <w:rPr>
                <w:rFonts w:ascii="Arial" w:hAnsi="Arial" w:cs="Arial"/>
                <w:sz w:val="19"/>
                <w:szCs w:val="19"/>
              </w:rPr>
              <w:t>Services in neighbourhoods targeted by rental assistance programming are overburdened.</w:t>
            </w:r>
          </w:p>
        </w:tc>
      </w:tr>
      <w:tr w:rsidR="00D86854" w:rsidRPr="005052AF" w14:paraId="2C72ED8C" w14:textId="77777777" w:rsidTr="005052AF">
        <w:tc>
          <w:tcPr>
            <w:tcW w:w="1980" w:type="dxa"/>
            <w:shd w:val="clear" w:color="auto" w:fill="FEF5F4"/>
          </w:tcPr>
          <w:p w14:paraId="529D050E" w14:textId="7B3AB3DA" w:rsidR="00D86854" w:rsidRPr="005052AF" w:rsidRDefault="00D86854" w:rsidP="005052AF">
            <w:pPr>
              <w:jc w:val="both"/>
              <w:rPr>
                <w:rFonts w:ascii="Arial" w:hAnsi="Arial" w:cs="Arial"/>
                <w:sz w:val="19"/>
                <w:szCs w:val="19"/>
              </w:rPr>
            </w:pPr>
            <w:r w:rsidRPr="005052AF">
              <w:rPr>
                <w:rFonts w:ascii="Arial" w:hAnsi="Arial" w:cs="Arial"/>
                <w:sz w:val="19"/>
                <w:szCs w:val="19"/>
              </w:rPr>
              <w:t>Internal Capacity</w:t>
            </w:r>
          </w:p>
        </w:tc>
        <w:tc>
          <w:tcPr>
            <w:tcW w:w="7036" w:type="dxa"/>
            <w:shd w:val="clear" w:color="auto" w:fill="FEF5F4"/>
          </w:tcPr>
          <w:p w14:paraId="6CD7C379" w14:textId="214D892D" w:rsidR="00D86854" w:rsidRPr="005052AF" w:rsidRDefault="00D86854" w:rsidP="005052AF">
            <w:pPr>
              <w:jc w:val="both"/>
              <w:rPr>
                <w:rFonts w:ascii="Arial" w:hAnsi="Arial" w:cs="Arial"/>
                <w:sz w:val="19"/>
                <w:szCs w:val="19"/>
              </w:rPr>
            </w:pPr>
            <w:r w:rsidRPr="005052AF">
              <w:rPr>
                <w:rFonts w:ascii="Arial" w:hAnsi="Arial" w:cs="Arial"/>
                <w:sz w:val="19"/>
                <w:szCs w:val="19"/>
              </w:rPr>
              <w:t>Not enough adequate human resources (staff and volunteers) to operate the programme in the operational programming functions.</w:t>
            </w:r>
          </w:p>
        </w:tc>
      </w:tr>
      <w:tr w:rsidR="00D86854" w:rsidRPr="005052AF" w14:paraId="1E1C62E6" w14:textId="77777777" w:rsidTr="005052AF">
        <w:tc>
          <w:tcPr>
            <w:tcW w:w="1980" w:type="dxa"/>
          </w:tcPr>
          <w:p w14:paraId="286D061A" w14:textId="6768A840" w:rsidR="00D86854" w:rsidRPr="005052AF" w:rsidRDefault="00D86854" w:rsidP="005052AF">
            <w:pPr>
              <w:jc w:val="both"/>
              <w:rPr>
                <w:rFonts w:ascii="Arial" w:hAnsi="Arial" w:cs="Arial"/>
                <w:sz w:val="19"/>
                <w:szCs w:val="19"/>
              </w:rPr>
            </w:pPr>
            <w:r w:rsidRPr="005052AF">
              <w:rPr>
                <w:rFonts w:ascii="Arial" w:hAnsi="Arial" w:cs="Arial"/>
                <w:sz w:val="19"/>
                <w:szCs w:val="19"/>
              </w:rPr>
              <w:t xml:space="preserve">Internal Capacity </w:t>
            </w:r>
          </w:p>
        </w:tc>
        <w:tc>
          <w:tcPr>
            <w:tcW w:w="7036" w:type="dxa"/>
          </w:tcPr>
          <w:p w14:paraId="798FD647" w14:textId="6017FF93" w:rsidR="00D86854" w:rsidRPr="005052AF" w:rsidRDefault="00D86854" w:rsidP="005052AF">
            <w:pPr>
              <w:jc w:val="both"/>
              <w:rPr>
                <w:rFonts w:ascii="Arial" w:hAnsi="Arial" w:cs="Arial"/>
                <w:sz w:val="19"/>
                <w:szCs w:val="19"/>
              </w:rPr>
            </w:pPr>
            <w:r w:rsidRPr="005052AF">
              <w:rPr>
                <w:rFonts w:ascii="Arial" w:hAnsi="Arial" w:cs="Arial"/>
                <w:sz w:val="19"/>
                <w:szCs w:val="19"/>
              </w:rPr>
              <w:t>Programme support functions (HR, Logistics, Finance, Administration) have limited capacity</w:t>
            </w:r>
          </w:p>
        </w:tc>
      </w:tr>
    </w:tbl>
    <w:p w14:paraId="0AC28F05" w14:textId="77777777" w:rsidR="00073510" w:rsidRPr="005052AF" w:rsidRDefault="00073510" w:rsidP="005052AF">
      <w:pPr>
        <w:jc w:val="both"/>
        <w:rPr>
          <w:rFonts w:ascii="Arial" w:hAnsi="Arial" w:cs="Arial"/>
          <w:sz w:val="19"/>
          <w:szCs w:val="19"/>
        </w:rPr>
      </w:pPr>
    </w:p>
    <w:p w14:paraId="50FC97A0" w14:textId="6C25BF52" w:rsidR="00D86854" w:rsidRPr="005052AF" w:rsidRDefault="00D86854" w:rsidP="005052AF">
      <w:pPr>
        <w:jc w:val="both"/>
        <w:rPr>
          <w:rFonts w:ascii="Arial" w:hAnsi="Arial" w:cs="Arial"/>
          <w:sz w:val="19"/>
          <w:szCs w:val="19"/>
        </w:rPr>
      </w:pPr>
      <w:r w:rsidRPr="005052AF">
        <w:rPr>
          <w:rFonts w:ascii="Arial" w:hAnsi="Arial" w:cs="Arial"/>
          <w:sz w:val="19"/>
          <w:szCs w:val="19"/>
        </w:rPr>
        <w:t>The above is not exhaustive there may be other risks for your context.</w:t>
      </w:r>
    </w:p>
    <w:p w14:paraId="233C8452" w14:textId="77777777" w:rsidR="00D86854" w:rsidRPr="005052AF" w:rsidRDefault="00D86854" w:rsidP="005052AF">
      <w:pPr>
        <w:jc w:val="both"/>
        <w:rPr>
          <w:rFonts w:ascii="Arial" w:hAnsi="Arial" w:cs="Arial"/>
          <w:sz w:val="8"/>
          <w:szCs w:val="8"/>
        </w:rPr>
      </w:pPr>
    </w:p>
    <w:p w14:paraId="4293DF0B" w14:textId="6F40B0DF" w:rsidR="00BD71B3" w:rsidRPr="005052AF" w:rsidRDefault="00D86854" w:rsidP="005052AF">
      <w:pPr>
        <w:pStyle w:val="Heading1"/>
        <w:jc w:val="both"/>
        <w:rPr>
          <w:rFonts w:ascii="Century Gothic" w:hAnsi="Century Gothic" w:cs="Arial"/>
          <w:b/>
          <w:bCs/>
          <w:color w:val="F5333F"/>
          <w:sz w:val="22"/>
          <w:szCs w:val="22"/>
        </w:rPr>
      </w:pPr>
      <w:r w:rsidRPr="005052AF">
        <w:rPr>
          <w:rFonts w:ascii="Century Gothic" w:hAnsi="Century Gothic" w:cs="Arial"/>
          <w:b/>
          <w:bCs/>
          <w:color w:val="F5333F"/>
          <w:sz w:val="22"/>
          <w:szCs w:val="22"/>
        </w:rPr>
        <w:t>Mitigations</w:t>
      </w:r>
    </w:p>
    <w:p w14:paraId="25741FCF" w14:textId="2A17877B" w:rsidR="00BD71B3" w:rsidRPr="005052AF" w:rsidRDefault="005052AF" w:rsidP="005052AF">
      <w:pPr>
        <w:jc w:val="both"/>
        <w:rPr>
          <w:rFonts w:ascii="Arial" w:hAnsi="Arial" w:cs="Arial"/>
          <w:sz w:val="19"/>
          <w:szCs w:val="19"/>
        </w:rPr>
      </w:pPr>
      <w:r>
        <w:rPr>
          <w:rFonts w:ascii="Arial" w:hAnsi="Arial" w:cs="Arial"/>
          <w:sz w:val="19"/>
          <w:szCs w:val="19"/>
        </w:rPr>
        <w:br/>
      </w:r>
      <w:r w:rsidR="00D86854" w:rsidRPr="005052AF">
        <w:rPr>
          <w:rFonts w:ascii="Arial" w:hAnsi="Arial" w:cs="Arial"/>
          <w:sz w:val="19"/>
          <w:szCs w:val="19"/>
        </w:rPr>
        <w:t>From listing out risks the practitioner may already be starting to consider mitigations th</w:t>
      </w:r>
      <w:r w:rsidR="006B3791">
        <w:rPr>
          <w:rFonts w:ascii="Arial" w:hAnsi="Arial" w:cs="Arial"/>
          <w:sz w:val="19"/>
          <w:szCs w:val="19"/>
        </w:rPr>
        <w:t>at</w:t>
      </w:r>
      <w:r w:rsidR="00D86854" w:rsidRPr="005052AF">
        <w:rPr>
          <w:rFonts w:ascii="Arial" w:hAnsi="Arial" w:cs="Arial"/>
          <w:sz w:val="19"/>
          <w:szCs w:val="19"/>
        </w:rPr>
        <w:t xml:space="preserve"> can be </w:t>
      </w:r>
      <w:r w:rsidR="004711A3" w:rsidRPr="005052AF">
        <w:rPr>
          <w:rFonts w:ascii="Arial" w:hAnsi="Arial" w:cs="Arial"/>
          <w:sz w:val="19"/>
          <w:szCs w:val="19"/>
        </w:rPr>
        <w:t>used</w:t>
      </w:r>
      <w:r w:rsidR="00D86854" w:rsidRPr="005052AF">
        <w:rPr>
          <w:rFonts w:ascii="Arial" w:hAnsi="Arial" w:cs="Arial"/>
          <w:sz w:val="19"/>
          <w:szCs w:val="19"/>
        </w:rPr>
        <w:t xml:space="preserve"> against each risk, </w:t>
      </w:r>
      <w:r w:rsidR="004711A3" w:rsidRPr="005052AF">
        <w:rPr>
          <w:rFonts w:ascii="Arial" w:hAnsi="Arial" w:cs="Arial"/>
          <w:sz w:val="19"/>
          <w:szCs w:val="19"/>
        </w:rPr>
        <w:t xml:space="preserve">this will start to inform </w:t>
      </w:r>
      <w:r w:rsidR="00D86854" w:rsidRPr="005052AF">
        <w:rPr>
          <w:rFonts w:ascii="Arial" w:hAnsi="Arial" w:cs="Arial"/>
          <w:sz w:val="19"/>
          <w:szCs w:val="19"/>
        </w:rPr>
        <w:t xml:space="preserve">what rental assistance approach you adopt, what components of rental assistance you include in your programme and other key programme design considerations. </w:t>
      </w:r>
      <w:r w:rsidR="00977F30" w:rsidRPr="005052AF">
        <w:rPr>
          <w:rFonts w:ascii="Arial" w:hAnsi="Arial" w:cs="Arial"/>
          <w:sz w:val="19"/>
          <w:szCs w:val="19"/>
        </w:rPr>
        <w:t>SoP 2.1.9 Risk Analysis &amp; Mitigation provides a number of examples of mitigations.</w:t>
      </w:r>
    </w:p>
    <w:p w14:paraId="4FEDDAA0" w14:textId="77777777" w:rsidR="00C24F4E" w:rsidRPr="005052AF" w:rsidRDefault="00C24F4E" w:rsidP="005052AF">
      <w:pPr>
        <w:jc w:val="both"/>
        <w:rPr>
          <w:rFonts w:ascii="Arial" w:hAnsi="Arial" w:cs="Arial"/>
          <w:sz w:val="19"/>
          <w:szCs w:val="19"/>
        </w:rPr>
      </w:pPr>
    </w:p>
    <w:sectPr w:rsidR="00C24F4E" w:rsidRPr="005052AF" w:rsidSect="005052AF">
      <w:headerReference w:type="default" r:id="rId12"/>
      <w:footerReference w:type="even"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07EAF" w14:textId="77777777" w:rsidR="00577FD4" w:rsidRDefault="00577FD4" w:rsidP="001301EF">
      <w:pPr>
        <w:spacing w:after="0" w:line="240" w:lineRule="auto"/>
      </w:pPr>
      <w:r>
        <w:separator/>
      </w:r>
    </w:p>
  </w:endnote>
  <w:endnote w:type="continuationSeparator" w:id="0">
    <w:p w14:paraId="5DE83526" w14:textId="77777777" w:rsidR="00577FD4" w:rsidRDefault="00577FD4"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3699590"/>
      <w:docPartObj>
        <w:docPartGallery w:val="Page Numbers (Bottom of Page)"/>
        <w:docPartUnique/>
      </w:docPartObj>
    </w:sdtPr>
    <w:sdtContent>
      <w:p w14:paraId="42535EFF" w14:textId="53A47AEB" w:rsidR="005052AF" w:rsidRDefault="005052AF"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7752" w14:textId="77777777" w:rsidR="005052AF" w:rsidRDefault="005052AF" w:rsidP="005052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557346"/>
      <w:docPartObj>
        <w:docPartGallery w:val="Page Numbers (Bottom of Page)"/>
        <w:docPartUnique/>
      </w:docPartObj>
    </w:sdtPr>
    <w:sdtContent>
      <w:p w14:paraId="4F2F53AD" w14:textId="71699804" w:rsidR="005052AF" w:rsidRDefault="005052AF" w:rsidP="001777BA">
        <w:pPr>
          <w:pStyle w:val="Footer"/>
          <w:framePr w:wrap="none" w:vAnchor="text" w:hAnchor="margin" w:xAlign="right" w:y="1"/>
          <w:rPr>
            <w:rStyle w:val="PageNumber"/>
          </w:rPr>
        </w:pPr>
        <w:r w:rsidRPr="005052AF">
          <w:rPr>
            <w:rStyle w:val="PageNumber"/>
            <w:rFonts w:ascii="Arial" w:hAnsi="Arial" w:cs="Arial"/>
            <w:color w:val="F5333F"/>
          </w:rPr>
          <w:fldChar w:fldCharType="begin"/>
        </w:r>
        <w:r w:rsidRPr="005052AF">
          <w:rPr>
            <w:rStyle w:val="PageNumber"/>
            <w:rFonts w:ascii="Arial" w:hAnsi="Arial" w:cs="Arial"/>
            <w:color w:val="F5333F"/>
          </w:rPr>
          <w:instrText xml:space="preserve"> PAGE </w:instrText>
        </w:r>
        <w:r w:rsidRPr="005052AF">
          <w:rPr>
            <w:rStyle w:val="PageNumber"/>
            <w:rFonts w:ascii="Arial" w:hAnsi="Arial" w:cs="Arial"/>
            <w:color w:val="F5333F"/>
          </w:rPr>
          <w:fldChar w:fldCharType="separate"/>
        </w:r>
        <w:r w:rsidRPr="005052AF">
          <w:rPr>
            <w:rStyle w:val="PageNumber"/>
            <w:rFonts w:ascii="Arial" w:hAnsi="Arial" w:cs="Arial"/>
            <w:noProof/>
            <w:color w:val="F5333F"/>
          </w:rPr>
          <w:t>2</w:t>
        </w:r>
        <w:r w:rsidRPr="005052AF">
          <w:rPr>
            <w:rStyle w:val="PageNumber"/>
            <w:rFonts w:ascii="Arial" w:hAnsi="Arial" w:cs="Arial"/>
            <w:color w:val="F5333F"/>
          </w:rPr>
          <w:fldChar w:fldCharType="end"/>
        </w:r>
      </w:p>
    </w:sdtContent>
  </w:sdt>
  <w:p w14:paraId="582486C8" w14:textId="357FE372" w:rsidR="005F218C" w:rsidRDefault="005F218C" w:rsidP="005052A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96A28" w14:textId="77777777" w:rsidR="00577FD4" w:rsidRDefault="00577FD4" w:rsidP="001301EF">
      <w:pPr>
        <w:spacing w:after="0" w:line="240" w:lineRule="auto"/>
      </w:pPr>
      <w:r>
        <w:separator/>
      </w:r>
    </w:p>
  </w:footnote>
  <w:footnote w:type="continuationSeparator" w:id="0">
    <w:p w14:paraId="2FF4E465" w14:textId="77777777" w:rsidR="00577FD4" w:rsidRDefault="00577FD4"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740F11B5" w:rsidR="005F218C" w:rsidRPr="005052AF" w:rsidRDefault="005F218C" w:rsidP="005052AF">
    <w:pPr>
      <w:pStyle w:val="Header"/>
      <w:jc w:val="center"/>
      <w:rPr>
        <w:rFonts w:ascii="Arial" w:hAnsi="Arial" w:cs="Arial"/>
        <w:color w:val="F5333F"/>
        <w:sz w:val="16"/>
        <w:szCs w:val="16"/>
      </w:rPr>
    </w:pPr>
    <w:r w:rsidRPr="005052AF">
      <w:rPr>
        <w:rFonts w:ascii="Arial" w:hAnsi="Arial" w:cs="Arial"/>
        <w:color w:val="F5333F"/>
        <w:sz w:val="16"/>
        <w:szCs w:val="16"/>
      </w:rPr>
      <w:t>Rental Assistance SoP 1.</w:t>
    </w:r>
    <w:r w:rsidR="00DB4133" w:rsidRPr="005052AF">
      <w:rPr>
        <w:rFonts w:ascii="Arial" w:hAnsi="Arial" w:cs="Arial"/>
        <w:color w:val="F5333F"/>
        <w:sz w:val="16"/>
        <w:szCs w:val="16"/>
      </w:rPr>
      <w:t>8</w:t>
    </w:r>
    <w:r w:rsidRPr="005052AF">
      <w:rPr>
        <w:rFonts w:ascii="Arial" w:hAnsi="Arial" w:cs="Arial"/>
        <w:color w:val="F5333F"/>
        <w:sz w:val="16"/>
        <w:szCs w:val="16"/>
      </w:rPr>
      <w:t xml:space="preserve"> – </w:t>
    </w:r>
    <w:r w:rsidR="00DB4133" w:rsidRPr="005052AF">
      <w:rPr>
        <w:rFonts w:ascii="Arial" w:hAnsi="Arial" w:cs="Arial"/>
        <w:color w:val="F5333F"/>
        <w:sz w:val="16"/>
        <w:szCs w:val="16"/>
      </w:rPr>
      <w:t>Initial Risk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26C5" w14:textId="4E2DED61" w:rsidR="005052AF" w:rsidRDefault="005052AF">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45501888" wp14:editId="1EA494B8">
              <wp:simplePos x="0" y="0"/>
              <wp:positionH relativeFrom="column">
                <wp:posOffset>1341120</wp:posOffset>
              </wp:positionH>
              <wp:positionV relativeFrom="paragraph">
                <wp:posOffset>83820</wp:posOffset>
              </wp:positionV>
              <wp:extent cx="4030980" cy="121158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030980" cy="1211580"/>
                      </a:xfrm>
                      <a:prstGeom prst="rect">
                        <a:avLst/>
                      </a:prstGeom>
                      <a:noFill/>
                      <a:ln w="6350">
                        <a:noFill/>
                      </a:ln>
                    </wps:spPr>
                    <wps:txbx>
                      <w:txbxContent>
                        <w:p w14:paraId="4409EC33" w14:textId="5C912531" w:rsidR="005052AF" w:rsidRPr="009503F7" w:rsidRDefault="005052AF" w:rsidP="005052AF">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5052AF">
                            <w:rPr>
                              <w:rFonts w:ascii="Century Gothic" w:eastAsiaTheme="majorEastAsia" w:hAnsi="Century Gothic" w:cs="Arial"/>
                              <w:b/>
                              <w:bCs/>
                              <w:color w:val="F5333F"/>
                              <w:spacing w:val="-10"/>
                              <w:kern w:val="28"/>
                              <w:sz w:val="44"/>
                              <w:szCs w:val="44"/>
                            </w:rPr>
                            <w:t>SoP 1.8 – Initial Risk Assessment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01888" id="_x0000_t202" coordsize="21600,21600" o:spt="202" path="m,l,21600r21600,l21600,xe">
              <v:stroke joinstyle="miter"/>
              <v:path gradientshapeok="t" o:connecttype="rect"/>
            </v:shapetype>
            <v:shape id="Cuadro de texto 2" o:spid="_x0000_s1026" type="#_x0000_t202" style="position:absolute;margin-left:105.6pt;margin-top:6.6pt;width:317.4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" filled="f" stroked="f" strokeweight=".5pt">
              <v:textbox>
                <w:txbxContent>
                  <w:p w14:paraId="4409EC33" w14:textId="5C912531" w:rsidR="005052AF" w:rsidRPr="009503F7" w:rsidRDefault="005052AF" w:rsidP="005052AF">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5052AF">
                      <w:rPr>
                        <w:rFonts w:ascii="Century Gothic" w:eastAsiaTheme="majorEastAsia" w:hAnsi="Century Gothic" w:cs="Arial"/>
                        <w:b/>
                        <w:bCs/>
                        <w:color w:val="F5333F"/>
                        <w:spacing w:val="-10"/>
                        <w:kern w:val="28"/>
                        <w:sz w:val="44"/>
                        <w:szCs w:val="44"/>
                      </w:rPr>
                      <w:t>SoP 1.8 – Initial Risk Assessment for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7109E3C8" wp14:editId="199ACCDC">
          <wp:simplePos x="0" y="0"/>
          <wp:positionH relativeFrom="column">
            <wp:posOffset>-922020</wp:posOffset>
          </wp:positionH>
          <wp:positionV relativeFrom="page">
            <wp:posOffset>6985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62B92"/>
    <w:multiLevelType w:val="hybridMultilevel"/>
    <w:tmpl w:val="7982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B5F"/>
    <w:multiLevelType w:val="hybridMultilevel"/>
    <w:tmpl w:val="F8E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 w15:restartNumberingAfterBreak="0">
    <w:nsid w:val="1DDC3B2F"/>
    <w:multiLevelType w:val="hybridMultilevel"/>
    <w:tmpl w:val="FE6617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84972"/>
    <w:multiLevelType w:val="hybridMultilevel"/>
    <w:tmpl w:val="C9AEBE22"/>
    <w:lvl w:ilvl="0" w:tplc="9F563336">
      <w:start w:val="1"/>
      <w:numFmt w:val="decimal"/>
      <w:lvlText w:val="%1)"/>
      <w:lvlJc w:val="left"/>
      <w:pPr>
        <w:tabs>
          <w:tab w:val="num" w:pos="360"/>
        </w:tabs>
        <w:ind w:left="360" w:hanging="360"/>
      </w:pPr>
    </w:lvl>
    <w:lvl w:ilvl="1" w:tplc="FA94AC54" w:tentative="1">
      <w:start w:val="1"/>
      <w:numFmt w:val="decimal"/>
      <w:lvlText w:val="%2)"/>
      <w:lvlJc w:val="left"/>
      <w:pPr>
        <w:tabs>
          <w:tab w:val="num" w:pos="1080"/>
        </w:tabs>
        <w:ind w:left="1080" w:hanging="360"/>
      </w:pPr>
    </w:lvl>
    <w:lvl w:ilvl="2" w:tplc="9738E4E0" w:tentative="1">
      <w:start w:val="1"/>
      <w:numFmt w:val="decimal"/>
      <w:lvlText w:val="%3)"/>
      <w:lvlJc w:val="left"/>
      <w:pPr>
        <w:tabs>
          <w:tab w:val="num" w:pos="1800"/>
        </w:tabs>
        <w:ind w:left="1800" w:hanging="360"/>
      </w:pPr>
    </w:lvl>
    <w:lvl w:ilvl="3" w:tplc="2AB862BA" w:tentative="1">
      <w:start w:val="1"/>
      <w:numFmt w:val="decimal"/>
      <w:lvlText w:val="%4)"/>
      <w:lvlJc w:val="left"/>
      <w:pPr>
        <w:tabs>
          <w:tab w:val="num" w:pos="2520"/>
        </w:tabs>
        <w:ind w:left="2520" w:hanging="360"/>
      </w:pPr>
    </w:lvl>
    <w:lvl w:ilvl="4" w:tplc="10AA9E5A" w:tentative="1">
      <w:start w:val="1"/>
      <w:numFmt w:val="decimal"/>
      <w:lvlText w:val="%5)"/>
      <w:lvlJc w:val="left"/>
      <w:pPr>
        <w:tabs>
          <w:tab w:val="num" w:pos="3240"/>
        </w:tabs>
        <w:ind w:left="3240" w:hanging="360"/>
      </w:pPr>
    </w:lvl>
    <w:lvl w:ilvl="5" w:tplc="913C47FC" w:tentative="1">
      <w:start w:val="1"/>
      <w:numFmt w:val="decimal"/>
      <w:lvlText w:val="%6)"/>
      <w:lvlJc w:val="left"/>
      <w:pPr>
        <w:tabs>
          <w:tab w:val="num" w:pos="3960"/>
        </w:tabs>
        <w:ind w:left="3960" w:hanging="360"/>
      </w:pPr>
    </w:lvl>
    <w:lvl w:ilvl="6" w:tplc="0F74186E" w:tentative="1">
      <w:start w:val="1"/>
      <w:numFmt w:val="decimal"/>
      <w:lvlText w:val="%7)"/>
      <w:lvlJc w:val="left"/>
      <w:pPr>
        <w:tabs>
          <w:tab w:val="num" w:pos="4680"/>
        </w:tabs>
        <w:ind w:left="4680" w:hanging="360"/>
      </w:pPr>
    </w:lvl>
    <w:lvl w:ilvl="7" w:tplc="80000D80" w:tentative="1">
      <w:start w:val="1"/>
      <w:numFmt w:val="decimal"/>
      <w:lvlText w:val="%8)"/>
      <w:lvlJc w:val="left"/>
      <w:pPr>
        <w:tabs>
          <w:tab w:val="num" w:pos="5400"/>
        </w:tabs>
        <w:ind w:left="5400" w:hanging="360"/>
      </w:pPr>
    </w:lvl>
    <w:lvl w:ilvl="8" w:tplc="2B2CAE22" w:tentative="1">
      <w:start w:val="1"/>
      <w:numFmt w:val="decimal"/>
      <w:lvlText w:val="%9)"/>
      <w:lvlJc w:val="left"/>
      <w:pPr>
        <w:tabs>
          <w:tab w:val="num" w:pos="6120"/>
        </w:tabs>
        <w:ind w:left="6120" w:hanging="360"/>
      </w:pPr>
    </w:lvl>
  </w:abstractNum>
  <w:abstractNum w:abstractNumId="10"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2" w15:restartNumberingAfterBreak="0">
    <w:nsid w:val="3A9D65D5"/>
    <w:multiLevelType w:val="hybridMultilevel"/>
    <w:tmpl w:val="B23AEB14"/>
    <w:lvl w:ilvl="0" w:tplc="E76CB912">
      <w:start w:val="1"/>
      <w:numFmt w:val="decimal"/>
      <w:lvlText w:val="%1)"/>
      <w:lvlJc w:val="left"/>
      <w:pPr>
        <w:tabs>
          <w:tab w:val="num" w:pos="360"/>
        </w:tabs>
        <w:ind w:left="360" w:hanging="360"/>
      </w:pPr>
    </w:lvl>
    <w:lvl w:ilvl="1" w:tplc="A01E208C" w:tentative="1">
      <w:start w:val="1"/>
      <w:numFmt w:val="decimal"/>
      <w:lvlText w:val="%2)"/>
      <w:lvlJc w:val="left"/>
      <w:pPr>
        <w:tabs>
          <w:tab w:val="num" w:pos="1080"/>
        </w:tabs>
        <w:ind w:left="1080" w:hanging="360"/>
      </w:pPr>
    </w:lvl>
    <w:lvl w:ilvl="2" w:tplc="FC585C7C" w:tentative="1">
      <w:start w:val="1"/>
      <w:numFmt w:val="decimal"/>
      <w:lvlText w:val="%3)"/>
      <w:lvlJc w:val="left"/>
      <w:pPr>
        <w:tabs>
          <w:tab w:val="num" w:pos="1800"/>
        </w:tabs>
        <w:ind w:left="1800" w:hanging="360"/>
      </w:pPr>
    </w:lvl>
    <w:lvl w:ilvl="3" w:tplc="852A1B4A" w:tentative="1">
      <w:start w:val="1"/>
      <w:numFmt w:val="decimal"/>
      <w:lvlText w:val="%4)"/>
      <w:lvlJc w:val="left"/>
      <w:pPr>
        <w:tabs>
          <w:tab w:val="num" w:pos="2520"/>
        </w:tabs>
        <w:ind w:left="2520" w:hanging="360"/>
      </w:pPr>
    </w:lvl>
    <w:lvl w:ilvl="4" w:tplc="2A069840" w:tentative="1">
      <w:start w:val="1"/>
      <w:numFmt w:val="decimal"/>
      <w:lvlText w:val="%5)"/>
      <w:lvlJc w:val="left"/>
      <w:pPr>
        <w:tabs>
          <w:tab w:val="num" w:pos="3240"/>
        </w:tabs>
        <w:ind w:left="3240" w:hanging="360"/>
      </w:pPr>
    </w:lvl>
    <w:lvl w:ilvl="5" w:tplc="7438ED20" w:tentative="1">
      <w:start w:val="1"/>
      <w:numFmt w:val="decimal"/>
      <w:lvlText w:val="%6)"/>
      <w:lvlJc w:val="left"/>
      <w:pPr>
        <w:tabs>
          <w:tab w:val="num" w:pos="3960"/>
        </w:tabs>
        <w:ind w:left="3960" w:hanging="360"/>
      </w:pPr>
    </w:lvl>
    <w:lvl w:ilvl="6" w:tplc="8AF8ECE4" w:tentative="1">
      <w:start w:val="1"/>
      <w:numFmt w:val="decimal"/>
      <w:lvlText w:val="%7)"/>
      <w:lvlJc w:val="left"/>
      <w:pPr>
        <w:tabs>
          <w:tab w:val="num" w:pos="4680"/>
        </w:tabs>
        <w:ind w:left="4680" w:hanging="360"/>
      </w:pPr>
    </w:lvl>
    <w:lvl w:ilvl="7" w:tplc="706AF416" w:tentative="1">
      <w:start w:val="1"/>
      <w:numFmt w:val="decimal"/>
      <w:lvlText w:val="%8)"/>
      <w:lvlJc w:val="left"/>
      <w:pPr>
        <w:tabs>
          <w:tab w:val="num" w:pos="5400"/>
        </w:tabs>
        <w:ind w:left="5400" w:hanging="360"/>
      </w:pPr>
    </w:lvl>
    <w:lvl w:ilvl="8" w:tplc="74A2FBA2" w:tentative="1">
      <w:start w:val="1"/>
      <w:numFmt w:val="decimal"/>
      <w:lvlText w:val="%9)"/>
      <w:lvlJc w:val="left"/>
      <w:pPr>
        <w:tabs>
          <w:tab w:val="num" w:pos="6120"/>
        </w:tabs>
        <w:ind w:left="6120" w:hanging="360"/>
      </w:pPr>
    </w:lvl>
  </w:abstractNum>
  <w:abstractNum w:abstractNumId="13"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90026"/>
    <w:multiLevelType w:val="hybridMultilevel"/>
    <w:tmpl w:val="B57ABC52"/>
    <w:lvl w:ilvl="0" w:tplc="17E6533A">
      <w:start w:val="1"/>
      <w:numFmt w:val="decimal"/>
      <w:lvlText w:val="%1)"/>
      <w:lvlJc w:val="left"/>
      <w:pPr>
        <w:tabs>
          <w:tab w:val="num" w:pos="360"/>
        </w:tabs>
        <w:ind w:left="360" w:hanging="360"/>
      </w:pPr>
    </w:lvl>
    <w:lvl w:ilvl="1" w:tplc="4F8638A6" w:tentative="1">
      <w:start w:val="1"/>
      <w:numFmt w:val="decimal"/>
      <w:lvlText w:val="%2)"/>
      <w:lvlJc w:val="left"/>
      <w:pPr>
        <w:tabs>
          <w:tab w:val="num" w:pos="1080"/>
        </w:tabs>
        <w:ind w:left="1080" w:hanging="360"/>
      </w:pPr>
    </w:lvl>
    <w:lvl w:ilvl="2" w:tplc="CB7015A8" w:tentative="1">
      <w:start w:val="1"/>
      <w:numFmt w:val="decimal"/>
      <w:lvlText w:val="%3)"/>
      <w:lvlJc w:val="left"/>
      <w:pPr>
        <w:tabs>
          <w:tab w:val="num" w:pos="1800"/>
        </w:tabs>
        <w:ind w:left="1800" w:hanging="360"/>
      </w:pPr>
    </w:lvl>
    <w:lvl w:ilvl="3" w:tplc="0C7EB954" w:tentative="1">
      <w:start w:val="1"/>
      <w:numFmt w:val="decimal"/>
      <w:lvlText w:val="%4)"/>
      <w:lvlJc w:val="left"/>
      <w:pPr>
        <w:tabs>
          <w:tab w:val="num" w:pos="2520"/>
        </w:tabs>
        <w:ind w:left="2520" w:hanging="360"/>
      </w:pPr>
    </w:lvl>
    <w:lvl w:ilvl="4" w:tplc="7D28FC66" w:tentative="1">
      <w:start w:val="1"/>
      <w:numFmt w:val="decimal"/>
      <w:lvlText w:val="%5)"/>
      <w:lvlJc w:val="left"/>
      <w:pPr>
        <w:tabs>
          <w:tab w:val="num" w:pos="3240"/>
        </w:tabs>
        <w:ind w:left="3240" w:hanging="360"/>
      </w:pPr>
    </w:lvl>
    <w:lvl w:ilvl="5" w:tplc="79C87464" w:tentative="1">
      <w:start w:val="1"/>
      <w:numFmt w:val="decimal"/>
      <w:lvlText w:val="%6)"/>
      <w:lvlJc w:val="left"/>
      <w:pPr>
        <w:tabs>
          <w:tab w:val="num" w:pos="3960"/>
        </w:tabs>
        <w:ind w:left="3960" w:hanging="360"/>
      </w:pPr>
    </w:lvl>
    <w:lvl w:ilvl="6" w:tplc="82F2E318" w:tentative="1">
      <w:start w:val="1"/>
      <w:numFmt w:val="decimal"/>
      <w:lvlText w:val="%7)"/>
      <w:lvlJc w:val="left"/>
      <w:pPr>
        <w:tabs>
          <w:tab w:val="num" w:pos="4680"/>
        </w:tabs>
        <w:ind w:left="4680" w:hanging="360"/>
      </w:pPr>
    </w:lvl>
    <w:lvl w:ilvl="7" w:tplc="B5A03DF0" w:tentative="1">
      <w:start w:val="1"/>
      <w:numFmt w:val="decimal"/>
      <w:lvlText w:val="%8)"/>
      <w:lvlJc w:val="left"/>
      <w:pPr>
        <w:tabs>
          <w:tab w:val="num" w:pos="5400"/>
        </w:tabs>
        <w:ind w:left="5400" w:hanging="360"/>
      </w:pPr>
    </w:lvl>
    <w:lvl w:ilvl="8" w:tplc="7FF66698" w:tentative="1">
      <w:start w:val="1"/>
      <w:numFmt w:val="decimal"/>
      <w:lvlText w:val="%9)"/>
      <w:lvlJc w:val="left"/>
      <w:pPr>
        <w:tabs>
          <w:tab w:val="num" w:pos="6120"/>
        </w:tabs>
        <w:ind w:left="6120" w:hanging="360"/>
      </w:pPr>
    </w:lvl>
  </w:abstractNum>
  <w:abstractNum w:abstractNumId="21"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14"/>
  </w:num>
  <w:num w:numId="2" w16cid:durableId="1307317685">
    <w:abstractNumId w:val="22"/>
  </w:num>
  <w:num w:numId="3" w16cid:durableId="1375888059">
    <w:abstractNumId w:val="11"/>
  </w:num>
  <w:num w:numId="4" w16cid:durableId="462117161">
    <w:abstractNumId w:val="13"/>
  </w:num>
  <w:num w:numId="5" w16cid:durableId="1171137479">
    <w:abstractNumId w:val="10"/>
  </w:num>
  <w:num w:numId="6" w16cid:durableId="2081638827">
    <w:abstractNumId w:val="1"/>
  </w:num>
  <w:num w:numId="7" w16cid:durableId="1869102553">
    <w:abstractNumId w:val="21"/>
  </w:num>
  <w:num w:numId="8" w16cid:durableId="1699771869">
    <w:abstractNumId w:val="7"/>
  </w:num>
  <w:num w:numId="9" w16cid:durableId="32118787">
    <w:abstractNumId w:val="17"/>
  </w:num>
  <w:num w:numId="10" w16cid:durableId="565803007">
    <w:abstractNumId w:val="0"/>
  </w:num>
  <w:num w:numId="11" w16cid:durableId="723526735">
    <w:abstractNumId w:val="4"/>
  </w:num>
  <w:num w:numId="12" w16cid:durableId="352607706">
    <w:abstractNumId w:val="16"/>
  </w:num>
  <w:num w:numId="13" w16cid:durableId="1140419985">
    <w:abstractNumId w:val="5"/>
  </w:num>
  <w:num w:numId="14" w16cid:durableId="1567229601">
    <w:abstractNumId w:val="15"/>
  </w:num>
  <w:num w:numId="15" w16cid:durableId="1326468700">
    <w:abstractNumId w:val="19"/>
  </w:num>
  <w:num w:numId="16" w16cid:durableId="927928885">
    <w:abstractNumId w:val="6"/>
  </w:num>
  <w:num w:numId="17" w16cid:durableId="241257114">
    <w:abstractNumId w:val="8"/>
  </w:num>
  <w:num w:numId="18" w16cid:durableId="806319170">
    <w:abstractNumId w:val="18"/>
  </w:num>
  <w:num w:numId="19" w16cid:durableId="1936396956">
    <w:abstractNumId w:val="20"/>
  </w:num>
  <w:num w:numId="20" w16cid:durableId="1844928749">
    <w:abstractNumId w:val="12"/>
  </w:num>
  <w:num w:numId="21" w16cid:durableId="759563162">
    <w:abstractNumId w:val="9"/>
  </w:num>
  <w:num w:numId="22" w16cid:durableId="1340498460">
    <w:abstractNumId w:val="2"/>
  </w:num>
  <w:num w:numId="23" w16cid:durableId="236018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32F13"/>
    <w:rsid w:val="0006517E"/>
    <w:rsid w:val="00073510"/>
    <w:rsid w:val="00075681"/>
    <w:rsid w:val="000D058A"/>
    <w:rsid w:val="000E3F2E"/>
    <w:rsid w:val="0012654F"/>
    <w:rsid w:val="001301EF"/>
    <w:rsid w:val="001603F2"/>
    <w:rsid w:val="001B04E4"/>
    <w:rsid w:val="001B3D7B"/>
    <w:rsid w:val="001D6179"/>
    <w:rsid w:val="00202E28"/>
    <w:rsid w:val="00215ACA"/>
    <w:rsid w:val="00237B51"/>
    <w:rsid w:val="0024264F"/>
    <w:rsid w:val="002544E8"/>
    <w:rsid w:val="002562CF"/>
    <w:rsid w:val="002623CE"/>
    <w:rsid w:val="00274B75"/>
    <w:rsid w:val="002B02A0"/>
    <w:rsid w:val="002D4111"/>
    <w:rsid w:val="00316EB8"/>
    <w:rsid w:val="00342D67"/>
    <w:rsid w:val="00365C3A"/>
    <w:rsid w:val="003A160F"/>
    <w:rsid w:val="003E38BE"/>
    <w:rsid w:val="00430A9A"/>
    <w:rsid w:val="00440DE4"/>
    <w:rsid w:val="00460E1A"/>
    <w:rsid w:val="004711A3"/>
    <w:rsid w:val="00471F04"/>
    <w:rsid w:val="004739BB"/>
    <w:rsid w:val="00484C48"/>
    <w:rsid w:val="004B6B13"/>
    <w:rsid w:val="004E75F6"/>
    <w:rsid w:val="004F7259"/>
    <w:rsid w:val="0050200D"/>
    <w:rsid w:val="005052AF"/>
    <w:rsid w:val="00513E6E"/>
    <w:rsid w:val="005270E6"/>
    <w:rsid w:val="00573167"/>
    <w:rsid w:val="00577FD4"/>
    <w:rsid w:val="00597956"/>
    <w:rsid w:val="005F218C"/>
    <w:rsid w:val="006423C6"/>
    <w:rsid w:val="00665755"/>
    <w:rsid w:val="0068172F"/>
    <w:rsid w:val="006A4E1A"/>
    <w:rsid w:val="006B3791"/>
    <w:rsid w:val="006D6CF5"/>
    <w:rsid w:val="006E73BC"/>
    <w:rsid w:val="006F743A"/>
    <w:rsid w:val="00704FA4"/>
    <w:rsid w:val="00705759"/>
    <w:rsid w:val="007103B2"/>
    <w:rsid w:val="00712AE8"/>
    <w:rsid w:val="00746BF7"/>
    <w:rsid w:val="00747E41"/>
    <w:rsid w:val="00751BD9"/>
    <w:rsid w:val="00753E03"/>
    <w:rsid w:val="0077738D"/>
    <w:rsid w:val="007B7C0F"/>
    <w:rsid w:val="007F1454"/>
    <w:rsid w:val="00804E4C"/>
    <w:rsid w:val="00821898"/>
    <w:rsid w:val="00826F2D"/>
    <w:rsid w:val="008503CD"/>
    <w:rsid w:val="008527D7"/>
    <w:rsid w:val="00853E03"/>
    <w:rsid w:val="00876FCE"/>
    <w:rsid w:val="008964D7"/>
    <w:rsid w:val="008D5351"/>
    <w:rsid w:val="00902945"/>
    <w:rsid w:val="009358FC"/>
    <w:rsid w:val="00977F30"/>
    <w:rsid w:val="009C3DE0"/>
    <w:rsid w:val="009F75D3"/>
    <w:rsid w:val="00A40E6F"/>
    <w:rsid w:val="00A60741"/>
    <w:rsid w:val="00A614AF"/>
    <w:rsid w:val="00AB610D"/>
    <w:rsid w:val="00B24AAC"/>
    <w:rsid w:val="00B43243"/>
    <w:rsid w:val="00B5547A"/>
    <w:rsid w:val="00B659F0"/>
    <w:rsid w:val="00BB3D9B"/>
    <w:rsid w:val="00BB47D1"/>
    <w:rsid w:val="00BC4E94"/>
    <w:rsid w:val="00BD71B3"/>
    <w:rsid w:val="00BF0AB2"/>
    <w:rsid w:val="00BF2BC9"/>
    <w:rsid w:val="00C13FC3"/>
    <w:rsid w:val="00C24F4E"/>
    <w:rsid w:val="00C365A5"/>
    <w:rsid w:val="00C37AC2"/>
    <w:rsid w:val="00C71696"/>
    <w:rsid w:val="00CB1A6A"/>
    <w:rsid w:val="00CB417B"/>
    <w:rsid w:val="00CB50B5"/>
    <w:rsid w:val="00CD73A1"/>
    <w:rsid w:val="00D12ECE"/>
    <w:rsid w:val="00D86854"/>
    <w:rsid w:val="00D914A2"/>
    <w:rsid w:val="00D92FBE"/>
    <w:rsid w:val="00DB4133"/>
    <w:rsid w:val="00DE24E8"/>
    <w:rsid w:val="00DF52A4"/>
    <w:rsid w:val="00E077F5"/>
    <w:rsid w:val="00E11343"/>
    <w:rsid w:val="00E55730"/>
    <w:rsid w:val="00E62F64"/>
    <w:rsid w:val="00E77D99"/>
    <w:rsid w:val="00E80B77"/>
    <w:rsid w:val="00EA0FAE"/>
    <w:rsid w:val="00EB56DD"/>
    <w:rsid w:val="00EB5D11"/>
    <w:rsid w:val="00F0238B"/>
    <w:rsid w:val="00F14540"/>
    <w:rsid w:val="00F65566"/>
    <w:rsid w:val="00FD4224"/>
    <w:rsid w:val="00FF090E"/>
    <w:rsid w:val="00FF16B8"/>
    <w:rsid w:val="05894345"/>
    <w:rsid w:val="08C38C80"/>
    <w:rsid w:val="0BFA92F1"/>
    <w:rsid w:val="11D7D6E8"/>
    <w:rsid w:val="180FC7EA"/>
    <w:rsid w:val="252D88FA"/>
    <w:rsid w:val="305A2BC0"/>
    <w:rsid w:val="3163FE94"/>
    <w:rsid w:val="49C7698E"/>
    <w:rsid w:val="5E3F2FDF"/>
    <w:rsid w:val="5FE726C9"/>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Default">
    <w:name w:val="Default"/>
    <w:rsid w:val="00073510"/>
    <w:pPr>
      <w:autoSpaceDE w:val="0"/>
      <w:autoSpaceDN w:val="0"/>
      <w:adjustRightInd w:val="0"/>
      <w:spacing w:after="0" w:line="240" w:lineRule="auto"/>
    </w:pPr>
    <w:rPr>
      <w:rFonts w:ascii="Open Sans Light" w:hAnsi="Open Sans Light" w:cs="Open Sans Light"/>
      <w:color w:val="000000"/>
      <w:kern w:val="0"/>
      <w:sz w:val="24"/>
      <w:szCs w:val="24"/>
    </w:rPr>
  </w:style>
  <w:style w:type="character" w:customStyle="1" w:styleId="A2">
    <w:name w:val="A2"/>
    <w:uiPriority w:val="99"/>
    <w:rsid w:val="00073510"/>
    <w:rPr>
      <w:rFonts w:cs="Open Sans Light"/>
      <w:color w:val="000000"/>
      <w:sz w:val="18"/>
      <w:szCs w:val="18"/>
    </w:rPr>
  </w:style>
  <w:style w:type="paragraph" w:customStyle="1" w:styleId="Pa44">
    <w:name w:val="Pa44"/>
    <w:basedOn w:val="Default"/>
    <w:next w:val="Default"/>
    <w:uiPriority w:val="99"/>
    <w:rsid w:val="00073510"/>
    <w:pPr>
      <w:spacing w:line="241" w:lineRule="atLeast"/>
    </w:pPr>
    <w:rPr>
      <w:rFonts w:cs="Times New Roman"/>
      <w:color w:val="auto"/>
    </w:rPr>
  </w:style>
  <w:style w:type="character" w:styleId="PageNumber">
    <w:name w:val="page number"/>
    <w:basedOn w:val="DefaultParagraphFont"/>
    <w:uiPriority w:val="99"/>
    <w:semiHidden/>
    <w:unhideWhenUsed/>
    <w:rsid w:val="0050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2.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4.xml><?xml version="1.0" encoding="utf-8"?>
<ds:datastoreItem xmlns:ds="http://schemas.openxmlformats.org/officeDocument/2006/customXml" ds:itemID="{FDE858A7-BA60-44C7-9416-12847E679D38}"/>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5</cp:revision>
  <dcterms:created xsi:type="dcterms:W3CDTF">2024-05-20T18:31:00Z</dcterms:created>
  <dcterms:modified xsi:type="dcterms:W3CDTF">2024-06-17T08:19:00Z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