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color w:val="auto"/>
          <w:kern w:val="2"/>
          <w:sz w:val="19"/>
          <w:szCs w:val="19"/>
          <w:lang w:val="en-GB"/>
          <w14:ligatures w14:val="standardContextual"/>
        </w:rPr>
        <w:id w:val="394323354"/>
        <w:docPartObj>
          <w:docPartGallery w:val="Table of Contents"/>
          <w:docPartUnique/>
        </w:docPartObj>
      </w:sdtPr>
      <w:sdtEndPr>
        <w:rPr>
          <w:b/>
          <w:bCs/>
          <w:noProof/>
        </w:rPr>
      </w:sdtEndPr>
      <w:sdtContent>
        <w:p w14:paraId="229A9835" w14:textId="4BC95358" w:rsidR="005F4AFF" w:rsidRPr="000C7BBB" w:rsidRDefault="005F4AFF" w:rsidP="00DB2ABE">
          <w:pPr>
            <w:pStyle w:val="TOCHeading"/>
            <w:jc w:val="both"/>
            <w:rPr>
              <w:rFonts w:ascii="Arial" w:hAnsi="Arial" w:cs="Arial"/>
              <w:color w:val="FF0000"/>
              <w:sz w:val="19"/>
              <w:szCs w:val="19"/>
            </w:rPr>
          </w:pPr>
          <w:r w:rsidRPr="000C7BBB">
            <w:rPr>
              <w:rFonts w:ascii="Century Gothic" w:hAnsi="Century Gothic" w:cs="Arial"/>
              <w:b/>
              <w:bCs/>
              <w:color w:val="F5333F"/>
              <w:sz w:val="22"/>
              <w:szCs w:val="22"/>
            </w:rPr>
            <w:t>Contents</w:t>
          </w:r>
          <w:r w:rsidR="000C7BBB">
            <w:rPr>
              <w:rFonts w:ascii="Arial" w:hAnsi="Arial" w:cs="Arial"/>
              <w:color w:val="FF0000"/>
              <w:sz w:val="19"/>
              <w:szCs w:val="19"/>
            </w:rPr>
            <w:br/>
          </w:r>
        </w:p>
        <w:p w14:paraId="7E12BD55" w14:textId="0EBA1B5D" w:rsidR="005F4AFF" w:rsidRPr="000C7BBB" w:rsidRDefault="005F4AFF" w:rsidP="00DB2ABE">
          <w:pPr>
            <w:pStyle w:val="TOC1"/>
            <w:tabs>
              <w:tab w:val="right" w:leader="dot" w:pos="9016"/>
            </w:tabs>
            <w:jc w:val="both"/>
            <w:rPr>
              <w:rFonts w:ascii="Arial" w:hAnsi="Arial" w:cs="Arial"/>
              <w:noProof/>
              <w:sz w:val="19"/>
              <w:szCs w:val="19"/>
            </w:rPr>
          </w:pPr>
          <w:r w:rsidRPr="000C7BBB">
            <w:rPr>
              <w:rFonts w:ascii="Arial" w:hAnsi="Arial" w:cs="Arial"/>
              <w:sz w:val="19"/>
              <w:szCs w:val="19"/>
            </w:rPr>
            <w:fldChar w:fldCharType="begin"/>
          </w:r>
          <w:r w:rsidRPr="000C7BBB">
            <w:rPr>
              <w:rFonts w:ascii="Arial" w:hAnsi="Arial" w:cs="Arial"/>
              <w:sz w:val="19"/>
              <w:szCs w:val="19"/>
            </w:rPr>
            <w:instrText xml:space="preserve"> TOC \o "1-3" \h \z \u </w:instrText>
          </w:r>
          <w:r w:rsidRPr="000C7BBB">
            <w:rPr>
              <w:rFonts w:ascii="Arial" w:hAnsi="Arial" w:cs="Arial"/>
              <w:sz w:val="19"/>
              <w:szCs w:val="19"/>
            </w:rPr>
            <w:fldChar w:fldCharType="separate"/>
          </w:r>
          <w:hyperlink w:anchor="_Toc142739478" w:history="1">
            <w:r w:rsidRPr="000C7BBB">
              <w:rPr>
                <w:rStyle w:val="Hyperlink"/>
                <w:rFonts w:ascii="Arial" w:hAnsi="Arial" w:cs="Arial"/>
                <w:noProof/>
                <w:sz w:val="19"/>
                <w:szCs w:val="19"/>
              </w:rPr>
              <w:t>Introduction</w:t>
            </w:r>
            <w:r w:rsidRPr="000C7BBB">
              <w:rPr>
                <w:rFonts w:ascii="Arial" w:hAnsi="Arial" w:cs="Arial"/>
                <w:noProof/>
                <w:webHidden/>
                <w:sz w:val="19"/>
                <w:szCs w:val="19"/>
              </w:rPr>
              <w:tab/>
            </w:r>
            <w:r w:rsidRPr="000C7BBB">
              <w:rPr>
                <w:rFonts w:ascii="Arial" w:hAnsi="Arial" w:cs="Arial"/>
                <w:noProof/>
                <w:webHidden/>
                <w:sz w:val="19"/>
                <w:szCs w:val="19"/>
              </w:rPr>
              <w:fldChar w:fldCharType="begin"/>
            </w:r>
            <w:r w:rsidRPr="000C7BBB">
              <w:rPr>
                <w:rFonts w:ascii="Arial" w:hAnsi="Arial" w:cs="Arial"/>
                <w:noProof/>
                <w:webHidden/>
                <w:sz w:val="19"/>
                <w:szCs w:val="19"/>
              </w:rPr>
              <w:instrText xml:space="preserve"> PAGEREF _Toc142739478 \h </w:instrText>
            </w:r>
            <w:r w:rsidRPr="000C7BBB">
              <w:rPr>
                <w:rFonts w:ascii="Arial" w:hAnsi="Arial" w:cs="Arial"/>
                <w:noProof/>
                <w:webHidden/>
                <w:sz w:val="19"/>
                <w:szCs w:val="19"/>
              </w:rPr>
            </w:r>
            <w:r w:rsidRPr="000C7BBB">
              <w:rPr>
                <w:rFonts w:ascii="Arial" w:hAnsi="Arial" w:cs="Arial"/>
                <w:noProof/>
                <w:webHidden/>
                <w:sz w:val="19"/>
                <w:szCs w:val="19"/>
              </w:rPr>
              <w:fldChar w:fldCharType="separate"/>
            </w:r>
            <w:r w:rsidR="00D83231">
              <w:rPr>
                <w:rFonts w:ascii="Arial" w:hAnsi="Arial" w:cs="Arial"/>
                <w:noProof/>
                <w:webHidden/>
                <w:sz w:val="19"/>
                <w:szCs w:val="19"/>
              </w:rPr>
              <w:t>1</w:t>
            </w:r>
            <w:r w:rsidRPr="000C7BBB">
              <w:rPr>
                <w:rFonts w:ascii="Arial" w:hAnsi="Arial" w:cs="Arial"/>
                <w:noProof/>
                <w:webHidden/>
                <w:sz w:val="19"/>
                <w:szCs w:val="19"/>
              </w:rPr>
              <w:fldChar w:fldCharType="end"/>
            </w:r>
          </w:hyperlink>
        </w:p>
        <w:p w14:paraId="2FF668B4" w14:textId="5A5DB9DB" w:rsidR="005F4AFF" w:rsidRPr="000C7BBB" w:rsidRDefault="008B3958" w:rsidP="00DB2ABE">
          <w:pPr>
            <w:pStyle w:val="TOC1"/>
            <w:tabs>
              <w:tab w:val="right" w:leader="dot" w:pos="9016"/>
            </w:tabs>
            <w:jc w:val="both"/>
            <w:rPr>
              <w:rFonts w:ascii="Arial" w:hAnsi="Arial" w:cs="Arial"/>
              <w:noProof/>
              <w:sz w:val="19"/>
              <w:szCs w:val="19"/>
            </w:rPr>
          </w:pPr>
          <w:hyperlink w:anchor="_Toc142739479" w:history="1">
            <w:r w:rsidR="005F4AFF" w:rsidRPr="000C7BBB">
              <w:rPr>
                <w:rStyle w:val="Hyperlink"/>
                <w:rFonts w:ascii="Arial" w:hAnsi="Arial" w:cs="Arial"/>
                <w:noProof/>
                <w:sz w:val="19"/>
                <w:szCs w:val="19"/>
              </w:rPr>
              <w:t>Establishing the rental payment transfer value</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_Toc142739479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2</w:t>
            </w:r>
            <w:r w:rsidR="005F4AFF" w:rsidRPr="000C7BBB">
              <w:rPr>
                <w:rFonts w:ascii="Arial" w:hAnsi="Arial" w:cs="Arial"/>
                <w:noProof/>
                <w:webHidden/>
                <w:sz w:val="19"/>
                <w:szCs w:val="19"/>
              </w:rPr>
              <w:fldChar w:fldCharType="end"/>
            </w:r>
          </w:hyperlink>
        </w:p>
        <w:p w14:paraId="1B1BA0ED" w14:textId="2A22B3D3" w:rsidR="005F4AFF" w:rsidRPr="000C7BBB" w:rsidRDefault="008B3958" w:rsidP="00DB2ABE">
          <w:pPr>
            <w:pStyle w:val="TOC1"/>
            <w:tabs>
              <w:tab w:val="right" w:leader="dot" w:pos="9016"/>
            </w:tabs>
            <w:jc w:val="both"/>
            <w:rPr>
              <w:rFonts w:ascii="Arial" w:hAnsi="Arial" w:cs="Arial"/>
              <w:noProof/>
              <w:sz w:val="19"/>
              <w:szCs w:val="19"/>
            </w:rPr>
          </w:pPr>
          <w:hyperlink w:anchor="_Toc142739480" w:history="1">
            <w:r w:rsidR="005F4AFF" w:rsidRPr="000C7BBB">
              <w:rPr>
                <w:rStyle w:val="Hyperlink"/>
                <w:rFonts w:ascii="Arial" w:hAnsi="Arial" w:cs="Arial"/>
                <w:noProof/>
                <w:sz w:val="19"/>
                <w:szCs w:val="19"/>
              </w:rPr>
              <w:t>Duration of Assistance and Tapering</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_Toc142739480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3</w:t>
            </w:r>
            <w:r w:rsidR="005F4AFF" w:rsidRPr="000C7BBB">
              <w:rPr>
                <w:rFonts w:ascii="Arial" w:hAnsi="Arial" w:cs="Arial"/>
                <w:noProof/>
                <w:webHidden/>
                <w:sz w:val="19"/>
                <w:szCs w:val="19"/>
              </w:rPr>
              <w:fldChar w:fldCharType="end"/>
            </w:r>
          </w:hyperlink>
        </w:p>
        <w:p w14:paraId="0DF96E48" w14:textId="696D9E89" w:rsidR="005F4AFF" w:rsidRPr="000C7BBB" w:rsidRDefault="008B3958" w:rsidP="00DB2ABE">
          <w:pPr>
            <w:pStyle w:val="TOC1"/>
            <w:tabs>
              <w:tab w:val="right" w:leader="dot" w:pos="9016"/>
            </w:tabs>
            <w:jc w:val="both"/>
            <w:rPr>
              <w:rFonts w:ascii="Arial" w:hAnsi="Arial" w:cs="Arial"/>
              <w:noProof/>
              <w:sz w:val="19"/>
              <w:szCs w:val="19"/>
            </w:rPr>
          </w:pPr>
          <w:hyperlink w:anchor="_Toc142739481" w:history="1">
            <w:r w:rsidR="005F4AFF" w:rsidRPr="000C7BBB">
              <w:rPr>
                <w:rStyle w:val="Hyperlink"/>
                <w:rFonts w:ascii="Arial" w:hAnsi="Arial" w:cs="Arial"/>
                <w:noProof/>
                <w:sz w:val="19"/>
                <w:szCs w:val="19"/>
              </w:rPr>
              <w:t>Considering associated payments (deposits, etc.)</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_Toc142739481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3</w:t>
            </w:r>
            <w:r w:rsidR="005F4AFF" w:rsidRPr="000C7BBB">
              <w:rPr>
                <w:rFonts w:ascii="Arial" w:hAnsi="Arial" w:cs="Arial"/>
                <w:noProof/>
                <w:webHidden/>
                <w:sz w:val="19"/>
                <w:szCs w:val="19"/>
              </w:rPr>
              <w:fldChar w:fldCharType="end"/>
            </w:r>
          </w:hyperlink>
        </w:p>
        <w:p w14:paraId="35086CE4" w14:textId="2A9311DF" w:rsidR="005F4AFF" w:rsidRPr="000C7BBB" w:rsidRDefault="008B3958" w:rsidP="00DB2ABE">
          <w:pPr>
            <w:pStyle w:val="TOC1"/>
            <w:tabs>
              <w:tab w:val="right" w:leader="dot" w:pos="9016"/>
            </w:tabs>
            <w:jc w:val="both"/>
            <w:rPr>
              <w:rFonts w:ascii="Arial" w:hAnsi="Arial" w:cs="Arial"/>
              <w:noProof/>
              <w:sz w:val="19"/>
              <w:szCs w:val="19"/>
            </w:rPr>
          </w:pPr>
          <w:hyperlink w:anchor="_Toc142739482" w:history="1">
            <w:r w:rsidR="005F4AFF" w:rsidRPr="000C7BBB">
              <w:rPr>
                <w:rStyle w:val="Hyperlink"/>
                <w:rFonts w:ascii="Arial" w:hAnsi="Arial" w:cs="Arial"/>
                <w:noProof/>
                <w:sz w:val="19"/>
                <w:szCs w:val="19"/>
              </w:rPr>
              <w:t>Rental Payment Transfer Mechanism</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_Toc142739482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4</w:t>
            </w:r>
            <w:r w:rsidR="005F4AFF" w:rsidRPr="000C7BBB">
              <w:rPr>
                <w:rFonts w:ascii="Arial" w:hAnsi="Arial" w:cs="Arial"/>
                <w:noProof/>
                <w:webHidden/>
                <w:sz w:val="19"/>
                <w:szCs w:val="19"/>
              </w:rPr>
              <w:fldChar w:fldCharType="end"/>
            </w:r>
          </w:hyperlink>
        </w:p>
        <w:p w14:paraId="1F462B2A" w14:textId="0AD4BC94" w:rsidR="005F4AFF" w:rsidRPr="000C7BBB" w:rsidRDefault="008B3958" w:rsidP="00DB2ABE">
          <w:pPr>
            <w:pStyle w:val="TOC1"/>
            <w:tabs>
              <w:tab w:val="right" w:leader="dot" w:pos="9016"/>
            </w:tabs>
            <w:jc w:val="both"/>
            <w:rPr>
              <w:rFonts w:ascii="Arial" w:hAnsi="Arial" w:cs="Arial"/>
              <w:noProof/>
              <w:sz w:val="19"/>
              <w:szCs w:val="19"/>
            </w:rPr>
          </w:pPr>
          <w:hyperlink w:anchor="_Toc142739483" w:history="1">
            <w:r w:rsidR="005F4AFF" w:rsidRPr="000C7BBB">
              <w:rPr>
                <w:rStyle w:val="Hyperlink"/>
                <w:rFonts w:ascii="Arial" w:hAnsi="Arial" w:cs="Arial"/>
                <w:noProof/>
                <w:sz w:val="19"/>
                <w:szCs w:val="19"/>
              </w:rPr>
              <w:t>Payments to Property Owners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_Toc142739483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5</w:t>
            </w:r>
            <w:r w:rsidR="005F4AFF" w:rsidRPr="000C7BBB">
              <w:rPr>
                <w:rFonts w:ascii="Arial" w:hAnsi="Arial" w:cs="Arial"/>
                <w:noProof/>
                <w:webHidden/>
                <w:sz w:val="19"/>
                <w:szCs w:val="19"/>
              </w:rPr>
              <w:fldChar w:fldCharType="end"/>
            </w:r>
          </w:hyperlink>
        </w:p>
        <w:p w14:paraId="61F2B6E8" w14:textId="7420CAC5" w:rsidR="005F4AFF" w:rsidRPr="000C7BBB" w:rsidRDefault="008B3958" w:rsidP="00DB2ABE">
          <w:pPr>
            <w:pStyle w:val="TOC2"/>
            <w:tabs>
              <w:tab w:val="right" w:leader="dot" w:pos="9016"/>
            </w:tabs>
            <w:jc w:val="both"/>
            <w:rPr>
              <w:rFonts w:ascii="Arial" w:hAnsi="Arial" w:cs="Arial"/>
              <w:noProof/>
              <w:sz w:val="19"/>
              <w:szCs w:val="19"/>
            </w:rPr>
          </w:pPr>
          <w:hyperlink w:anchor="_Toc142739484" w:history="1">
            <w:r w:rsidR="005F4AFF" w:rsidRPr="000C7BBB">
              <w:rPr>
                <w:rStyle w:val="Hyperlink"/>
                <w:rFonts w:ascii="Arial" w:hAnsi="Arial" w:cs="Arial"/>
                <w:noProof/>
                <w:sz w:val="19"/>
                <w:szCs w:val="19"/>
              </w:rPr>
              <w:t>Paying Hotels and Hostels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_Toc142739484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5</w:t>
            </w:r>
            <w:r w:rsidR="005F4AFF" w:rsidRPr="000C7BBB">
              <w:rPr>
                <w:rFonts w:ascii="Arial" w:hAnsi="Arial" w:cs="Arial"/>
                <w:noProof/>
                <w:webHidden/>
                <w:sz w:val="19"/>
                <w:szCs w:val="19"/>
              </w:rPr>
              <w:fldChar w:fldCharType="end"/>
            </w:r>
          </w:hyperlink>
        </w:p>
        <w:p w14:paraId="375FDB84" w14:textId="450FD004" w:rsidR="005F4AFF" w:rsidRPr="000C7BBB" w:rsidRDefault="008B3958" w:rsidP="00DB2ABE">
          <w:pPr>
            <w:pStyle w:val="TOC2"/>
            <w:tabs>
              <w:tab w:val="right" w:leader="dot" w:pos="9016"/>
            </w:tabs>
            <w:jc w:val="both"/>
            <w:rPr>
              <w:rFonts w:ascii="Arial" w:hAnsi="Arial" w:cs="Arial"/>
              <w:noProof/>
              <w:sz w:val="19"/>
              <w:szCs w:val="19"/>
            </w:rPr>
          </w:pPr>
          <w:hyperlink w:anchor="_Toc142739485" w:history="1">
            <w:r w:rsidR="005F4AFF" w:rsidRPr="000C7BBB">
              <w:rPr>
                <w:rStyle w:val="Hyperlink"/>
                <w:rFonts w:ascii="Arial" w:hAnsi="Arial" w:cs="Arial"/>
                <w:noProof/>
                <w:sz w:val="19"/>
                <w:szCs w:val="19"/>
              </w:rPr>
              <w:t>Paying private landlords of apartments and houses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_Toc142739485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5</w:t>
            </w:r>
            <w:r w:rsidR="005F4AFF" w:rsidRPr="000C7BBB">
              <w:rPr>
                <w:rFonts w:ascii="Arial" w:hAnsi="Arial" w:cs="Arial"/>
                <w:noProof/>
                <w:webHidden/>
                <w:sz w:val="19"/>
                <w:szCs w:val="19"/>
              </w:rPr>
              <w:fldChar w:fldCharType="end"/>
            </w:r>
          </w:hyperlink>
        </w:p>
        <w:p w14:paraId="73752CBE" w14:textId="564DD655" w:rsidR="005F4AFF" w:rsidRPr="000C7BBB" w:rsidRDefault="008B3958" w:rsidP="00DB2ABE">
          <w:pPr>
            <w:pStyle w:val="TOC1"/>
            <w:tabs>
              <w:tab w:val="right" w:leader="dot" w:pos="9016"/>
            </w:tabs>
            <w:jc w:val="both"/>
            <w:rPr>
              <w:rFonts w:ascii="Arial" w:hAnsi="Arial" w:cs="Arial"/>
              <w:noProof/>
              <w:sz w:val="19"/>
              <w:szCs w:val="19"/>
            </w:rPr>
          </w:pPr>
          <w:hyperlink w:anchor="_Toc142739486" w:history="1">
            <w:r w:rsidR="005F4AFF" w:rsidRPr="000C7BBB">
              <w:rPr>
                <w:rStyle w:val="Hyperlink"/>
                <w:rFonts w:ascii="Arial" w:hAnsi="Arial" w:cs="Arial"/>
                <w:noProof/>
                <w:sz w:val="19"/>
                <w:szCs w:val="19"/>
              </w:rPr>
              <w:t>Conditionality and Restrictions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_Toc142739486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5</w:t>
            </w:r>
            <w:r w:rsidR="005F4AFF" w:rsidRPr="000C7BBB">
              <w:rPr>
                <w:rFonts w:ascii="Arial" w:hAnsi="Arial" w:cs="Arial"/>
                <w:noProof/>
                <w:webHidden/>
                <w:sz w:val="19"/>
                <w:szCs w:val="19"/>
              </w:rPr>
              <w:fldChar w:fldCharType="end"/>
            </w:r>
          </w:hyperlink>
        </w:p>
        <w:p w14:paraId="71427466" w14:textId="083626C6" w:rsidR="005F4AFF" w:rsidRPr="000C7BBB" w:rsidRDefault="008B3958" w:rsidP="00DB2ABE">
          <w:pPr>
            <w:pStyle w:val="TOC1"/>
            <w:tabs>
              <w:tab w:val="right" w:leader="dot" w:pos="9016"/>
            </w:tabs>
            <w:jc w:val="both"/>
            <w:rPr>
              <w:rFonts w:ascii="Arial" w:hAnsi="Arial" w:cs="Arial"/>
              <w:noProof/>
              <w:sz w:val="19"/>
              <w:szCs w:val="19"/>
            </w:rPr>
          </w:pPr>
          <w:hyperlink w:anchor="_Toc142739487" w:history="1">
            <w:r w:rsidR="005F4AFF" w:rsidRPr="000C7BBB">
              <w:rPr>
                <w:rStyle w:val="Hyperlink"/>
                <w:rFonts w:ascii="Arial" w:hAnsi="Arial" w:cs="Arial"/>
                <w:noProof/>
                <w:sz w:val="19"/>
                <w:szCs w:val="19"/>
              </w:rPr>
              <w:t>Payment in Tranches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_Toc142739487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5</w:t>
            </w:r>
            <w:r w:rsidR="005F4AFF" w:rsidRPr="000C7BBB">
              <w:rPr>
                <w:rFonts w:ascii="Arial" w:hAnsi="Arial" w:cs="Arial"/>
                <w:noProof/>
                <w:webHidden/>
                <w:sz w:val="19"/>
                <w:szCs w:val="19"/>
              </w:rPr>
              <w:fldChar w:fldCharType="end"/>
            </w:r>
          </w:hyperlink>
        </w:p>
        <w:p w14:paraId="1D78652B" w14:textId="46BE1003" w:rsidR="005F4AFF" w:rsidRPr="000C7BBB" w:rsidRDefault="008B3958" w:rsidP="00DB2ABE">
          <w:pPr>
            <w:pStyle w:val="TOC2"/>
            <w:tabs>
              <w:tab w:val="right" w:leader="dot" w:pos="9016"/>
            </w:tabs>
            <w:jc w:val="both"/>
            <w:rPr>
              <w:rFonts w:ascii="Arial" w:hAnsi="Arial" w:cs="Arial"/>
              <w:noProof/>
              <w:sz w:val="19"/>
              <w:szCs w:val="19"/>
            </w:rPr>
          </w:pPr>
          <w:hyperlink w:anchor="_Toc142739488" w:history="1">
            <w:r w:rsidR="005F4AFF" w:rsidRPr="000C7BBB">
              <w:rPr>
                <w:rStyle w:val="Hyperlink"/>
                <w:rFonts w:ascii="Arial" w:hAnsi="Arial" w:cs="Arial"/>
                <w:noProof/>
                <w:sz w:val="19"/>
                <w:szCs w:val="19"/>
              </w:rPr>
              <w:t>Forecasting Monthly Payments &amp; Budgeting</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_Toc142739488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6</w:t>
            </w:r>
            <w:r w:rsidR="005F4AFF" w:rsidRPr="000C7BBB">
              <w:rPr>
                <w:rFonts w:ascii="Arial" w:hAnsi="Arial" w:cs="Arial"/>
                <w:noProof/>
                <w:webHidden/>
                <w:sz w:val="19"/>
                <w:szCs w:val="19"/>
              </w:rPr>
              <w:fldChar w:fldCharType="end"/>
            </w:r>
          </w:hyperlink>
        </w:p>
        <w:p w14:paraId="2ECDDCB1" w14:textId="4DB9FF8C" w:rsidR="005F4AFF" w:rsidRPr="000C7BBB" w:rsidRDefault="008B3958" w:rsidP="00DB2ABE">
          <w:pPr>
            <w:pStyle w:val="TOC2"/>
            <w:tabs>
              <w:tab w:val="right" w:leader="dot" w:pos="9016"/>
            </w:tabs>
            <w:jc w:val="both"/>
            <w:rPr>
              <w:rFonts w:ascii="Arial" w:hAnsi="Arial" w:cs="Arial"/>
              <w:noProof/>
              <w:sz w:val="19"/>
              <w:szCs w:val="19"/>
            </w:rPr>
          </w:pPr>
          <w:hyperlink w:anchor="_Toc142739489" w:history="1">
            <w:r w:rsidR="005F4AFF" w:rsidRPr="000C7BBB">
              <w:rPr>
                <w:rStyle w:val="Hyperlink"/>
                <w:rFonts w:ascii="Arial" w:hAnsi="Arial" w:cs="Arial"/>
                <w:noProof/>
                <w:sz w:val="19"/>
                <w:szCs w:val="19"/>
              </w:rPr>
              <w:t>Financial Risk and Approvals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_Toc142739489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7</w:t>
            </w:r>
            <w:r w:rsidR="005F4AFF" w:rsidRPr="000C7BBB">
              <w:rPr>
                <w:rFonts w:ascii="Arial" w:hAnsi="Arial" w:cs="Arial"/>
                <w:noProof/>
                <w:webHidden/>
                <w:sz w:val="19"/>
                <w:szCs w:val="19"/>
              </w:rPr>
              <w:fldChar w:fldCharType="end"/>
            </w:r>
          </w:hyperlink>
        </w:p>
        <w:p w14:paraId="2A984360" w14:textId="5E9734AD" w:rsidR="005F4AFF" w:rsidRPr="000C7BBB" w:rsidRDefault="008B3958" w:rsidP="00DB2ABE">
          <w:pPr>
            <w:pStyle w:val="TOC2"/>
            <w:tabs>
              <w:tab w:val="right" w:leader="dot" w:pos="9016"/>
            </w:tabs>
            <w:jc w:val="both"/>
            <w:rPr>
              <w:rFonts w:ascii="Arial" w:hAnsi="Arial" w:cs="Arial"/>
              <w:noProof/>
              <w:sz w:val="19"/>
              <w:szCs w:val="19"/>
            </w:rPr>
          </w:pPr>
          <w:hyperlink w:anchor="_Toc142739490" w:history="1">
            <w:r w:rsidR="005F4AFF" w:rsidRPr="000C7BBB">
              <w:rPr>
                <w:rStyle w:val="Hyperlink"/>
                <w:rFonts w:ascii="Arial" w:hAnsi="Arial" w:cs="Arial"/>
                <w:noProof/>
                <w:sz w:val="19"/>
                <w:szCs w:val="19"/>
              </w:rPr>
              <w:t>Audits</w:t>
            </w:r>
            <w:r w:rsidR="005F4AFF" w:rsidRPr="000C7BBB">
              <w:rPr>
                <w:rFonts w:ascii="Arial" w:hAnsi="Arial" w:cs="Arial"/>
                <w:noProof/>
                <w:webHidden/>
                <w:sz w:val="19"/>
                <w:szCs w:val="19"/>
              </w:rPr>
              <w:tab/>
            </w:r>
            <w:r w:rsidR="005F4AFF" w:rsidRPr="000C7BBB">
              <w:rPr>
                <w:rFonts w:ascii="Arial" w:hAnsi="Arial" w:cs="Arial"/>
                <w:noProof/>
                <w:webHidden/>
                <w:sz w:val="19"/>
                <w:szCs w:val="19"/>
              </w:rPr>
              <w:fldChar w:fldCharType="begin"/>
            </w:r>
            <w:r w:rsidR="005F4AFF" w:rsidRPr="000C7BBB">
              <w:rPr>
                <w:rFonts w:ascii="Arial" w:hAnsi="Arial" w:cs="Arial"/>
                <w:noProof/>
                <w:webHidden/>
                <w:sz w:val="19"/>
                <w:szCs w:val="19"/>
              </w:rPr>
              <w:instrText xml:space="preserve"> PAGEREF _Toc142739490 \h </w:instrText>
            </w:r>
            <w:r w:rsidR="005F4AFF" w:rsidRPr="000C7BBB">
              <w:rPr>
                <w:rFonts w:ascii="Arial" w:hAnsi="Arial" w:cs="Arial"/>
                <w:noProof/>
                <w:webHidden/>
                <w:sz w:val="19"/>
                <w:szCs w:val="19"/>
              </w:rPr>
            </w:r>
            <w:r w:rsidR="005F4AFF" w:rsidRPr="000C7BBB">
              <w:rPr>
                <w:rFonts w:ascii="Arial" w:hAnsi="Arial" w:cs="Arial"/>
                <w:noProof/>
                <w:webHidden/>
                <w:sz w:val="19"/>
                <w:szCs w:val="19"/>
              </w:rPr>
              <w:fldChar w:fldCharType="separate"/>
            </w:r>
            <w:r w:rsidR="00D83231">
              <w:rPr>
                <w:rFonts w:ascii="Arial" w:hAnsi="Arial" w:cs="Arial"/>
                <w:noProof/>
                <w:webHidden/>
                <w:sz w:val="19"/>
                <w:szCs w:val="19"/>
              </w:rPr>
              <w:t>7</w:t>
            </w:r>
            <w:r w:rsidR="005F4AFF" w:rsidRPr="000C7BBB">
              <w:rPr>
                <w:rFonts w:ascii="Arial" w:hAnsi="Arial" w:cs="Arial"/>
                <w:noProof/>
                <w:webHidden/>
                <w:sz w:val="19"/>
                <w:szCs w:val="19"/>
              </w:rPr>
              <w:fldChar w:fldCharType="end"/>
            </w:r>
          </w:hyperlink>
        </w:p>
        <w:p w14:paraId="1FCDEB0B" w14:textId="2E604938" w:rsidR="005F4AFF" w:rsidRPr="000C7BBB" w:rsidRDefault="005F4AFF" w:rsidP="00DB2ABE">
          <w:pPr>
            <w:jc w:val="both"/>
            <w:rPr>
              <w:rFonts w:ascii="Arial" w:hAnsi="Arial" w:cs="Arial"/>
              <w:sz w:val="19"/>
              <w:szCs w:val="19"/>
            </w:rPr>
          </w:pPr>
          <w:r w:rsidRPr="000C7BBB">
            <w:rPr>
              <w:rFonts w:ascii="Arial" w:hAnsi="Arial" w:cs="Arial"/>
              <w:b/>
              <w:bCs/>
              <w:noProof/>
              <w:sz w:val="19"/>
              <w:szCs w:val="19"/>
            </w:rPr>
            <w:fldChar w:fldCharType="end"/>
          </w:r>
        </w:p>
      </w:sdtContent>
    </w:sdt>
    <w:p w14:paraId="1BBEBAB4" w14:textId="77777777" w:rsidR="00CD353E" w:rsidRDefault="00CD353E" w:rsidP="00DB2ABE">
      <w:pPr>
        <w:pStyle w:val="Heading1"/>
        <w:jc w:val="both"/>
        <w:rPr>
          <w:rFonts w:ascii="Century Gothic" w:hAnsi="Century Gothic" w:cs="Arial"/>
          <w:b/>
          <w:bCs/>
          <w:color w:val="F5333F"/>
          <w:sz w:val="22"/>
          <w:szCs w:val="22"/>
        </w:rPr>
      </w:pPr>
      <w:bookmarkStart w:id="0" w:name="_Toc142739478"/>
    </w:p>
    <w:p w14:paraId="1C9BD251" w14:textId="44F23A98" w:rsidR="005F4AFF" w:rsidRPr="000C7BBB" w:rsidRDefault="001301EF" w:rsidP="00DB2ABE">
      <w:pPr>
        <w:pStyle w:val="Heading1"/>
        <w:jc w:val="both"/>
        <w:rPr>
          <w:rFonts w:ascii="Century Gothic" w:hAnsi="Century Gothic" w:cs="Arial"/>
          <w:b/>
          <w:bCs/>
          <w:sz w:val="22"/>
          <w:szCs w:val="22"/>
        </w:rPr>
      </w:pPr>
      <w:r w:rsidRPr="000C7BBB">
        <w:rPr>
          <w:rFonts w:ascii="Century Gothic" w:hAnsi="Century Gothic" w:cs="Arial"/>
          <w:b/>
          <w:bCs/>
          <w:color w:val="F5333F"/>
          <w:sz w:val="22"/>
          <w:szCs w:val="22"/>
        </w:rPr>
        <w:t>Introduction</w:t>
      </w:r>
      <w:bookmarkEnd w:id="0"/>
      <w:r w:rsidR="000C7BBB" w:rsidRPr="000C7BBB">
        <w:rPr>
          <w:rFonts w:ascii="Century Gothic" w:hAnsi="Century Gothic" w:cs="Arial"/>
          <w:b/>
          <w:bCs/>
          <w:sz w:val="22"/>
          <w:szCs w:val="22"/>
        </w:rPr>
        <w:br/>
      </w:r>
    </w:p>
    <w:p w14:paraId="06587A2F" w14:textId="495B42A8" w:rsidR="00CB1353" w:rsidRPr="000C7BBB" w:rsidRDefault="00CB1353" w:rsidP="00DB2ABE">
      <w:pPr>
        <w:jc w:val="both"/>
        <w:rPr>
          <w:rFonts w:ascii="Arial" w:hAnsi="Arial" w:cs="Arial"/>
          <w:sz w:val="19"/>
          <w:szCs w:val="19"/>
        </w:rPr>
      </w:pPr>
      <w:r w:rsidRPr="000C7BBB">
        <w:rPr>
          <w:rFonts w:ascii="Arial" w:hAnsi="Arial" w:cs="Arial"/>
          <w:sz w:val="19"/>
          <w:szCs w:val="19"/>
        </w:rPr>
        <w:t>Where rental payments are included as a component of the rental assistance it is important to carefully design and plan for them. This will include:</w:t>
      </w:r>
    </w:p>
    <w:p w14:paraId="555704C2" w14:textId="63687268" w:rsidR="00CB1353" w:rsidRPr="000C7BBB" w:rsidRDefault="00CB1353" w:rsidP="00DB2ABE">
      <w:pPr>
        <w:pStyle w:val="ListParagraph"/>
        <w:numPr>
          <w:ilvl w:val="0"/>
          <w:numId w:val="24"/>
        </w:numPr>
        <w:jc w:val="both"/>
        <w:rPr>
          <w:rFonts w:ascii="Arial" w:hAnsi="Arial" w:cs="Arial"/>
          <w:sz w:val="19"/>
          <w:szCs w:val="19"/>
        </w:rPr>
      </w:pPr>
      <w:r w:rsidRPr="000C7BBB">
        <w:rPr>
          <w:rFonts w:ascii="Arial" w:hAnsi="Arial" w:cs="Arial"/>
          <w:sz w:val="19"/>
          <w:szCs w:val="19"/>
        </w:rPr>
        <w:t>Establishing the rental payment transfer value</w:t>
      </w:r>
    </w:p>
    <w:p w14:paraId="65074FF5" w14:textId="64190F50" w:rsidR="00CB1353" w:rsidRPr="000C7BBB" w:rsidRDefault="00CB1353" w:rsidP="00DB2ABE">
      <w:pPr>
        <w:pStyle w:val="ListParagraph"/>
        <w:numPr>
          <w:ilvl w:val="0"/>
          <w:numId w:val="24"/>
        </w:numPr>
        <w:jc w:val="both"/>
        <w:rPr>
          <w:rFonts w:ascii="Arial" w:hAnsi="Arial" w:cs="Arial"/>
          <w:sz w:val="19"/>
          <w:szCs w:val="19"/>
        </w:rPr>
      </w:pPr>
      <w:r w:rsidRPr="000C7BBB">
        <w:rPr>
          <w:rFonts w:ascii="Arial" w:hAnsi="Arial" w:cs="Arial"/>
          <w:sz w:val="19"/>
          <w:szCs w:val="19"/>
        </w:rPr>
        <w:t>Reflecting on the duration of assistance and considering tapering the assistance</w:t>
      </w:r>
    </w:p>
    <w:p w14:paraId="608D939D" w14:textId="2265C9DD" w:rsidR="004855AD" w:rsidRPr="000C7BBB" w:rsidRDefault="004855AD" w:rsidP="00DB2ABE">
      <w:pPr>
        <w:pStyle w:val="ListParagraph"/>
        <w:numPr>
          <w:ilvl w:val="0"/>
          <w:numId w:val="24"/>
        </w:numPr>
        <w:jc w:val="both"/>
        <w:rPr>
          <w:rFonts w:ascii="Arial" w:hAnsi="Arial" w:cs="Arial"/>
          <w:sz w:val="19"/>
          <w:szCs w:val="19"/>
        </w:rPr>
      </w:pPr>
      <w:r w:rsidRPr="000C7BBB">
        <w:rPr>
          <w:rFonts w:ascii="Arial" w:hAnsi="Arial" w:cs="Arial"/>
          <w:sz w:val="19"/>
          <w:szCs w:val="19"/>
        </w:rPr>
        <w:t>Considering associated payments (deposits, etc.)</w:t>
      </w:r>
    </w:p>
    <w:p w14:paraId="6CD2A7EA" w14:textId="55E146A2" w:rsidR="00CB1353" w:rsidRPr="000C7BBB" w:rsidRDefault="004855AD" w:rsidP="00DB2ABE">
      <w:pPr>
        <w:pStyle w:val="ListParagraph"/>
        <w:numPr>
          <w:ilvl w:val="0"/>
          <w:numId w:val="24"/>
        </w:numPr>
        <w:jc w:val="both"/>
        <w:rPr>
          <w:rFonts w:ascii="Arial" w:hAnsi="Arial" w:cs="Arial"/>
          <w:sz w:val="19"/>
          <w:szCs w:val="19"/>
        </w:rPr>
      </w:pPr>
      <w:r w:rsidRPr="000C7BBB">
        <w:rPr>
          <w:rFonts w:ascii="Arial" w:hAnsi="Arial" w:cs="Arial"/>
          <w:sz w:val="19"/>
          <w:szCs w:val="19"/>
        </w:rPr>
        <w:t>Considering the transfer mechanism</w:t>
      </w:r>
    </w:p>
    <w:p w14:paraId="1906502A" w14:textId="7A9B3DFB" w:rsidR="004855AD" w:rsidRPr="000C7BBB" w:rsidRDefault="004855AD" w:rsidP="00DB2ABE">
      <w:pPr>
        <w:pStyle w:val="ListParagraph"/>
        <w:numPr>
          <w:ilvl w:val="0"/>
          <w:numId w:val="24"/>
        </w:numPr>
        <w:jc w:val="both"/>
        <w:rPr>
          <w:rFonts w:ascii="Arial" w:hAnsi="Arial" w:cs="Arial"/>
          <w:sz w:val="19"/>
          <w:szCs w:val="19"/>
        </w:rPr>
      </w:pPr>
      <w:r w:rsidRPr="000C7BBB">
        <w:rPr>
          <w:rFonts w:ascii="Arial" w:hAnsi="Arial" w:cs="Arial"/>
          <w:sz w:val="19"/>
          <w:szCs w:val="19"/>
        </w:rPr>
        <w:t>Considering conditionality and restrictions</w:t>
      </w:r>
    </w:p>
    <w:p w14:paraId="33312137" w14:textId="55966078" w:rsidR="00CB1353" w:rsidRPr="000C7BBB" w:rsidRDefault="002D282E" w:rsidP="00DB2ABE">
      <w:pPr>
        <w:pStyle w:val="ListParagraph"/>
        <w:numPr>
          <w:ilvl w:val="0"/>
          <w:numId w:val="24"/>
        </w:numPr>
        <w:jc w:val="both"/>
        <w:rPr>
          <w:rFonts w:ascii="Arial" w:hAnsi="Arial" w:cs="Arial"/>
          <w:sz w:val="19"/>
          <w:szCs w:val="19"/>
        </w:rPr>
      </w:pPr>
      <w:r w:rsidRPr="000C7BBB">
        <w:rPr>
          <w:rFonts w:ascii="Arial" w:hAnsi="Arial" w:cs="Arial"/>
          <w:sz w:val="19"/>
          <w:szCs w:val="19"/>
        </w:rPr>
        <w:t>Working with finance</w:t>
      </w:r>
      <w:r w:rsidR="516B2C85" w:rsidRPr="000C7BBB">
        <w:rPr>
          <w:rFonts w:ascii="Arial" w:hAnsi="Arial" w:cs="Arial"/>
          <w:sz w:val="19"/>
          <w:szCs w:val="19"/>
        </w:rPr>
        <w:t xml:space="preserve"> to ensure timely payments and adequate documentation for audit purposes</w:t>
      </w:r>
    </w:p>
    <w:p w14:paraId="42798407" w14:textId="25085CA2" w:rsidR="00286F31" w:rsidRPr="000C7BBB" w:rsidRDefault="00286F31" w:rsidP="00DB2ABE">
      <w:pPr>
        <w:jc w:val="both"/>
        <w:rPr>
          <w:rFonts w:ascii="Arial" w:hAnsi="Arial" w:cs="Arial"/>
          <w:sz w:val="19"/>
          <w:szCs w:val="19"/>
        </w:rPr>
      </w:pPr>
      <w:r w:rsidRPr="000C7BBB">
        <w:rPr>
          <w:rFonts w:ascii="Arial" w:hAnsi="Arial" w:cs="Arial"/>
          <w:sz w:val="19"/>
          <w:szCs w:val="19"/>
        </w:rPr>
        <w:t xml:space="preserve">Although it is recognised that there will be </w:t>
      </w:r>
      <w:r w:rsidR="00E719E9" w:rsidRPr="000C7BBB">
        <w:rPr>
          <w:rFonts w:ascii="Arial" w:hAnsi="Arial" w:cs="Arial"/>
          <w:sz w:val="19"/>
          <w:szCs w:val="19"/>
        </w:rPr>
        <w:t>differing needs of households and some will have more financial resources than others, it is necessary to standardise to some extent to enable to smooth running of the programme. The following recommendations are made</w:t>
      </w:r>
      <w:r w:rsidR="002B1FF1">
        <w:rPr>
          <w:rFonts w:ascii="Arial" w:hAnsi="Arial" w:cs="Arial"/>
          <w:sz w:val="19"/>
          <w:szCs w:val="19"/>
        </w:rPr>
        <w:t>:</w:t>
      </w:r>
    </w:p>
    <w:p w14:paraId="6291FD48" w14:textId="77777777" w:rsidR="00531AEC" w:rsidRPr="000C7BBB" w:rsidRDefault="00531AEC" w:rsidP="00DB2ABE">
      <w:pPr>
        <w:jc w:val="both"/>
        <w:rPr>
          <w:rFonts w:ascii="Arial" w:hAnsi="Arial" w:cs="Arial"/>
          <w:sz w:val="19"/>
          <w:szCs w:val="19"/>
        </w:rPr>
      </w:pPr>
    </w:p>
    <w:p w14:paraId="4018F805" w14:textId="5AE6763E" w:rsidR="00531AEC" w:rsidRPr="000C7BBB" w:rsidRDefault="00531AEC" w:rsidP="00DB2ABE">
      <w:pPr>
        <w:jc w:val="both"/>
        <w:rPr>
          <w:rFonts w:ascii="Arial" w:hAnsi="Arial" w:cs="Arial"/>
          <w:sz w:val="19"/>
          <w:szCs w:val="19"/>
        </w:rPr>
      </w:pPr>
      <w:r w:rsidRPr="000C7BBB">
        <w:rPr>
          <w:rFonts w:ascii="Arial" w:hAnsi="Arial" w:cs="Arial"/>
          <w:noProof/>
          <w:sz w:val="19"/>
          <w:szCs w:val="19"/>
        </w:rPr>
        <w:lastRenderedPageBreak/>
        <mc:AlternateContent>
          <mc:Choice Requires="wps">
            <w:drawing>
              <wp:anchor distT="45720" distB="45720" distL="114300" distR="114300" simplePos="0" relativeHeight="251658240" behindDoc="0" locked="0" layoutInCell="1" allowOverlap="1" wp14:anchorId="18EF9F87" wp14:editId="0FC220E6">
                <wp:simplePos x="0" y="0"/>
                <wp:positionH relativeFrom="column">
                  <wp:posOffset>-7620</wp:posOffset>
                </wp:positionH>
                <wp:positionV relativeFrom="paragraph">
                  <wp:posOffset>327660</wp:posOffset>
                </wp:positionV>
                <wp:extent cx="5784850" cy="1485900"/>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85900"/>
                        </a:xfrm>
                        <a:prstGeom prst="rect">
                          <a:avLst/>
                        </a:prstGeom>
                        <a:solidFill>
                          <a:srgbClr val="FEF5F4"/>
                        </a:solidFill>
                        <a:ln w="9525">
                          <a:noFill/>
                          <a:miter lim="800000"/>
                          <a:headEnd/>
                          <a:tailEnd/>
                        </a:ln>
                      </wps:spPr>
                      <wps:txbx>
                        <w:txbxContent>
                          <w:p w14:paraId="1D642499" w14:textId="77777777" w:rsidR="00B546A9" w:rsidRPr="000C7BBB" w:rsidRDefault="00B546A9" w:rsidP="00B546A9">
                            <w:pPr>
                              <w:pStyle w:val="ListParagraph"/>
                              <w:numPr>
                                <w:ilvl w:val="0"/>
                                <w:numId w:val="17"/>
                              </w:numPr>
                              <w:rPr>
                                <w:rFonts w:ascii="Arial" w:hAnsi="Arial" w:cs="Arial"/>
                                <w:sz w:val="19"/>
                                <w:szCs w:val="19"/>
                              </w:rPr>
                            </w:pPr>
                            <w:r w:rsidRPr="000C7BBB">
                              <w:rPr>
                                <w:rFonts w:ascii="Arial" w:hAnsi="Arial" w:cs="Arial"/>
                                <w:sz w:val="19"/>
                                <w:szCs w:val="19"/>
                              </w:rPr>
                              <w:t>2.</w:t>
                            </w:r>
                            <w:r w:rsidR="00531AEC" w:rsidRPr="000C7BBB">
                              <w:rPr>
                                <w:rFonts w:ascii="Arial" w:hAnsi="Arial" w:cs="Arial"/>
                                <w:sz w:val="19"/>
                                <w:szCs w:val="19"/>
                              </w:rPr>
                              <w:t>1.6</w:t>
                            </w:r>
                            <w:r w:rsidRPr="000C7BBB">
                              <w:rPr>
                                <w:rFonts w:ascii="Arial" w:hAnsi="Arial" w:cs="Arial"/>
                                <w:sz w:val="19"/>
                                <w:szCs w:val="19"/>
                              </w:rPr>
                              <w:t>_Example_PaymentsForecast_RentalAssistance.xlsx</w:t>
                            </w:r>
                          </w:p>
                          <w:p w14:paraId="48D1ECB4" w14:textId="77777777" w:rsidR="00B546A9" w:rsidRPr="000C7BBB" w:rsidRDefault="00B546A9" w:rsidP="00B546A9">
                            <w:pPr>
                              <w:pStyle w:val="ListParagraph"/>
                              <w:numPr>
                                <w:ilvl w:val="0"/>
                                <w:numId w:val="32"/>
                              </w:numPr>
                              <w:rPr>
                                <w:rFonts w:ascii="Arial" w:hAnsi="Arial" w:cs="Arial"/>
                                <w:sz w:val="19"/>
                                <w:szCs w:val="19"/>
                              </w:rPr>
                            </w:pPr>
                            <w:r w:rsidRPr="000C7BBB">
                              <w:rPr>
                                <w:rFonts w:ascii="Arial" w:hAnsi="Arial" w:cs="Arial"/>
                                <w:sz w:val="19"/>
                                <w:szCs w:val="19"/>
                              </w:rPr>
                              <w:t xml:space="preserve">Simple table used to forecast rental payments to show cumulative number of transfers that may take place each and total value of those payments. Could be helpful to generate </w:t>
                            </w:r>
                            <w:proofErr w:type="gramStart"/>
                            <w:r w:rsidRPr="000C7BBB">
                              <w:rPr>
                                <w:rFonts w:ascii="Arial" w:hAnsi="Arial" w:cs="Arial"/>
                                <w:sz w:val="19"/>
                                <w:szCs w:val="19"/>
                              </w:rPr>
                              <w:t>similar to</w:t>
                            </w:r>
                            <w:proofErr w:type="gramEnd"/>
                            <w:r w:rsidRPr="000C7BBB">
                              <w:rPr>
                                <w:rFonts w:ascii="Arial" w:hAnsi="Arial" w:cs="Arial"/>
                                <w:sz w:val="19"/>
                                <w:szCs w:val="19"/>
                              </w:rPr>
                              <w:t xml:space="preserve"> aid discussion with finance.</w:t>
                            </w:r>
                          </w:p>
                          <w:p w14:paraId="08F0543F" w14:textId="39B18376" w:rsidR="00AB7EE5" w:rsidRPr="000C7BBB" w:rsidRDefault="00AB7EE5" w:rsidP="00AB7EE5">
                            <w:pPr>
                              <w:pStyle w:val="ListParagraph"/>
                              <w:numPr>
                                <w:ilvl w:val="0"/>
                                <w:numId w:val="17"/>
                              </w:numPr>
                              <w:rPr>
                                <w:rFonts w:ascii="Arial" w:hAnsi="Arial" w:cs="Arial"/>
                                <w:sz w:val="19"/>
                                <w:szCs w:val="19"/>
                              </w:rPr>
                            </w:pPr>
                            <w:r w:rsidRPr="000C7BBB">
                              <w:rPr>
                                <w:rFonts w:ascii="Arial" w:hAnsi="Arial" w:cs="Arial"/>
                                <w:sz w:val="19"/>
                                <w:szCs w:val="19"/>
                              </w:rPr>
                              <w:t>2.1.6_Example_PaymentsForecast_SK_RentalAssistance.xlsx</w:t>
                            </w:r>
                            <w:r w:rsidR="0086089B" w:rsidRPr="000C7BBB">
                              <w:rPr>
                                <w:rFonts w:ascii="Arial" w:hAnsi="Arial" w:cs="Arial"/>
                                <w:sz w:val="19"/>
                                <w:szCs w:val="19"/>
                              </w:rPr>
                              <w:t xml:space="preserve"> &amp; 2.1.6 Example_ShelterEncashmentPlanSK_RentalAssistance.xlsx</w:t>
                            </w:r>
                          </w:p>
                          <w:p w14:paraId="56CEDD75" w14:textId="4C2C3D53" w:rsidR="00AB7EE5" w:rsidRPr="000C7BBB" w:rsidRDefault="00AB7EE5" w:rsidP="00AB25CF">
                            <w:pPr>
                              <w:pStyle w:val="ListParagraph"/>
                              <w:numPr>
                                <w:ilvl w:val="0"/>
                                <w:numId w:val="32"/>
                              </w:numPr>
                              <w:rPr>
                                <w:rFonts w:ascii="Arial" w:hAnsi="Arial" w:cs="Arial"/>
                                <w:sz w:val="19"/>
                                <w:szCs w:val="19"/>
                              </w:rPr>
                            </w:pPr>
                            <w:r w:rsidRPr="000C7BBB">
                              <w:rPr>
                                <w:rFonts w:ascii="Arial" w:hAnsi="Arial" w:cs="Arial"/>
                                <w:sz w:val="19"/>
                                <w:szCs w:val="19"/>
                              </w:rPr>
                              <w:t>Forecast</w:t>
                            </w:r>
                            <w:r w:rsidR="0086089B" w:rsidRPr="000C7BBB">
                              <w:rPr>
                                <w:rFonts w:ascii="Arial" w:hAnsi="Arial" w:cs="Arial"/>
                                <w:sz w:val="19"/>
                                <w:szCs w:val="19"/>
                              </w:rPr>
                              <w:t>s</w:t>
                            </w:r>
                            <w:r w:rsidR="002D7B37" w:rsidRPr="000C7BBB">
                              <w:rPr>
                                <w:rFonts w:ascii="Arial" w:hAnsi="Arial" w:cs="Arial"/>
                                <w:sz w:val="19"/>
                                <w:szCs w:val="19"/>
                              </w:rPr>
                              <w:t xml:space="preserve"> </w:t>
                            </w:r>
                            <w:r w:rsidR="007769C0" w:rsidRPr="000C7BBB">
                              <w:rPr>
                                <w:rFonts w:ascii="Arial" w:hAnsi="Arial" w:cs="Arial"/>
                                <w:sz w:val="19"/>
                                <w:szCs w:val="19"/>
                              </w:rPr>
                              <w:t xml:space="preserve">and Encashment plan </w:t>
                            </w:r>
                            <w:r w:rsidRPr="000C7BBB">
                              <w:rPr>
                                <w:rFonts w:ascii="Arial" w:hAnsi="Arial" w:cs="Arial"/>
                                <w:sz w:val="19"/>
                                <w:szCs w:val="19"/>
                              </w:rPr>
                              <w:t xml:space="preserve">used as part of the </w:t>
                            </w:r>
                            <w:r w:rsidR="002B1FF1" w:rsidRPr="00A9715A">
                              <w:rPr>
                                <w:rFonts w:ascii="Arial" w:hAnsi="Arial" w:cs="Arial"/>
                                <w:sz w:val="19"/>
                                <w:szCs w:val="19"/>
                              </w:rPr>
                              <w:t xml:space="preserve">2022-2023 Ukraine </w:t>
                            </w:r>
                            <w:r w:rsidRPr="000C7BBB">
                              <w:rPr>
                                <w:rFonts w:ascii="Arial" w:hAnsi="Arial" w:cs="Arial"/>
                                <w:sz w:val="19"/>
                                <w:szCs w:val="19"/>
                              </w:rPr>
                              <w:t>response in Slovakia.</w:t>
                            </w:r>
                            <w:r w:rsidR="0086089B" w:rsidRPr="000C7BBB">
                              <w:rPr>
                                <w:rFonts w:ascii="Arial" w:hAnsi="Arial" w:cs="Arial"/>
                                <w:sz w:val="19"/>
                                <w:szCs w:val="19"/>
                              </w:rPr>
                              <w:t xml:space="preserve"> Worth looking at both examples, since they are slightly different in terms of setup and 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F9F87" id="_x0000_t202" coordsize="21600,21600" o:spt="202" path="m,l,21600r21600,l21600,xe">
                <v:stroke joinstyle="miter"/>
                <v:path gradientshapeok="t" o:connecttype="rect"/>
              </v:shapetype>
              <v:shape id="Text Box 733933811" o:spid="_x0000_s1026" type="#_x0000_t202" style="position:absolute;left:0;text-align:left;margin-left:-.6pt;margin-top:25.8pt;width:455.5pt;height:1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" fillcolor="#fef5f4" stroked="f">
                <v:textbox>
                  <w:txbxContent>
                    <w:p w14:paraId="1D642499" w14:textId="77777777" w:rsidR="00B546A9" w:rsidRPr="000C7BBB" w:rsidRDefault="00B546A9" w:rsidP="00B546A9">
                      <w:pPr>
                        <w:pStyle w:val="ListParagraph"/>
                        <w:numPr>
                          <w:ilvl w:val="0"/>
                          <w:numId w:val="17"/>
                        </w:numPr>
                        <w:rPr>
                          <w:rFonts w:ascii="Arial" w:hAnsi="Arial" w:cs="Arial"/>
                          <w:sz w:val="19"/>
                          <w:szCs w:val="19"/>
                        </w:rPr>
                      </w:pPr>
                      <w:r w:rsidRPr="000C7BBB">
                        <w:rPr>
                          <w:rFonts w:ascii="Arial" w:hAnsi="Arial" w:cs="Arial"/>
                          <w:sz w:val="19"/>
                          <w:szCs w:val="19"/>
                        </w:rPr>
                        <w:t>2.</w:t>
                      </w:r>
                      <w:r w:rsidR="00531AEC" w:rsidRPr="000C7BBB">
                        <w:rPr>
                          <w:rFonts w:ascii="Arial" w:hAnsi="Arial" w:cs="Arial"/>
                          <w:sz w:val="19"/>
                          <w:szCs w:val="19"/>
                        </w:rPr>
                        <w:t>1.6</w:t>
                      </w:r>
                      <w:r w:rsidRPr="000C7BBB">
                        <w:rPr>
                          <w:rFonts w:ascii="Arial" w:hAnsi="Arial" w:cs="Arial"/>
                          <w:sz w:val="19"/>
                          <w:szCs w:val="19"/>
                        </w:rPr>
                        <w:t>_Example_PaymentsForecast_RentalAssistance.xlsx</w:t>
                      </w:r>
                    </w:p>
                    <w:p w14:paraId="48D1ECB4" w14:textId="77777777" w:rsidR="00B546A9" w:rsidRPr="000C7BBB" w:rsidRDefault="00B546A9" w:rsidP="00B546A9">
                      <w:pPr>
                        <w:pStyle w:val="ListParagraph"/>
                        <w:numPr>
                          <w:ilvl w:val="0"/>
                          <w:numId w:val="32"/>
                        </w:numPr>
                        <w:rPr>
                          <w:rFonts w:ascii="Arial" w:hAnsi="Arial" w:cs="Arial"/>
                          <w:sz w:val="19"/>
                          <w:szCs w:val="19"/>
                        </w:rPr>
                      </w:pPr>
                      <w:r w:rsidRPr="000C7BBB">
                        <w:rPr>
                          <w:rFonts w:ascii="Arial" w:hAnsi="Arial" w:cs="Arial"/>
                          <w:sz w:val="19"/>
                          <w:szCs w:val="19"/>
                        </w:rPr>
                        <w:t xml:space="preserve">Simple table used to forecast rental payments to show cumulative number of transfers that may take place each and total value of those payments. Could be helpful to generate </w:t>
                      </w:r>
                      <w:proofErr w:type="gramStart"/>
                      <w:r w:rsidRPr="000C7BBB">
                        <w:rPr>
                          <w:rFonts w:ascii="Arial" w:hAnsi="Arial" w:cs="Arial"/>
                          <w:sz w:val="19"/>
                          <w:szCs w:val="19"/>
                        </w:rPr>
                        <w:t>similar to</w:t>
                      </w:r>
                      <w:proofErr w:type="gramEnd"/>
                      <w:r w:rsidRPr="000C7BBB">
                        <w:rPr>
                          <w:rFonts w:ascii="Arial" w:hAnsi="Arial" w:cs="Arial"/>
                          <w:sz w:val="19"/>
                          <w:szCs w:val="19"/>
                        </w:rPr>
                        <w:t xml:space="preserve"> aid discussion with finance.</w:t>
                      </w:r>
                    </w:p>
                    <w:p w14:paraId="08F0543F" w14:textId="39B18376" w:rsidR="00AB7EE5" w:rsidRPr="000C7BBB" w:rsidRDefault="00AB7EE5" w:rsidP="00AB7EE5">
                      <w:pPr>
                        <w:pStyle w:val="ListParagraph"/>
                        <w:numPr>
                          <w:ilvl w:val="0"/>
                          <w:numId w:val="17"/>
                        </w:numPr>
                        <w:rPr>
                          <w:rFonts w:ascii="Arial" w:hAnsi="Arial" w:cs="Arial"/>
                          <w:sz w:val="19"/>
                          <w:szCs w:val="19"/>
                        </w:rPr>
                      </w:pPr>
                      <w:r w:rsidRPr="000C7BBB">
                        <w:rPr>
                          <w:rFonts w:ascii="Arial" w:hAnsi="Arial" w:cs="Arial"/>
                          <w:sz w:val="19"/>
                          <w:szCs w:val="19"/>
                        </w:rPr>
                        <w:t>2.1.6_Example_PaymentsForecast_SK_RentalAssistance.xlsx</w:t>
                      </w:r>
                      <w:r w:rsidR="0086089B" w:rsidRPr="000C7BBB">
                        <w:rPr>
                          <w:rFonts w:ascii="Arial" w:hAnsi="Arial" w:cs="Arial"/>
                          <w:sz w:val="19"/>
                          <w:szCs w:val="19"/>
                        </w:rPr>
                        <w:t xml:space="preserve"> &amp; 2.1.6 Example_ShelterEncashmentPlanSK_RentalAssistance.xlsx</w:t>
                      </w:r>
                    </w:p>
                    <w:p w14:paraId="56CEDD75" w14:textId="4C2C3D53" w:rsidR="00AB7EE5" w:rsidRPr="000C7BBB" w:rsidRDefault="00AB7EE5" w:rsidP="00AB25CF">
                      <w:pPr>
                        <w:pStyle w:val="ListParagraph"/>
                        <w:numPr>
                          <w:ilvl w:val="0"/>
                          <w:numId w:val="32"/>
                        </w:numPr>
                        <w:rPr>
                          <w:rFonts w:ascii="Arial" w:hAnsi="Arial" w:cs="Arial"/>
                          <w:sz w:val="19"/>
                          <w:szCs w:val="19"/>
                        </w:rPr>
                      </w:pPr>
                      <w:r w:rsidRPr="000C7BBB">
                        <w:rPr>
                          <w:rFonts w:ascii="Arial" w:hAnsi="Arial" w:cs="Arial"/>
                          <w:sz w:val="19"/>
                          <w:szCs w:val="19"/>
                        </w:rPr>
                        <w:t>Forecast</w:t>
                      </w:r>
                      <w:r w:rsidR="0086089B" w:rsidRPr="000C7BBB">
                        <w:rPr>
                          <w:rFonts w:ascii="Arial" w:hAnsi="Arial" w:cs="Arial"/>
                          <w:sz w:val="19"/>
                          <w:szCs w:val="19"/>
                        </w:rPr>
                        <w:t>s</w:t>
                      </w:r>
                      <w:r w:rsidR="002D7B37" w:rsidRPr="000C7BBB">
                        <w:rPr>
                          <w:rFonts w:ascii="Arial" w:hAnsi="Arial" w:cs="Arial"/>
                          <w:sz w:val="19"/>
                          <w:szCs w:val="19"/>
                        </w:rPr>
                        <w:t xml:space="preserve"> </w:t>
                      </w:r>
                      <w:r w:rsidR="007769C0" w:rsidRPr="000C7BBB">
                        <w:rPr>
                          <w:rFonts w:ascii="Arial" w:hAnsi="Arial" w:cs="Arial"/>
                          <w:sz w:val="19"/>
                          <w:szCs w:val="19"/>
                        </w:rPr>
                        <w:t xml:space="preserve">and Encashment plan </w:t>
                      </w:r>
                      <w:r w:rsidRPr="000C7BBB">
                        <w:rPr>
                          <w:rFonts w:ascii="Arial" w:hAnsi="Arial" w:cs="Arial"/>
                          <w:sz w:val="19"/>
                          <w:szCs w:val="19"/>
                        </w:rPr>
                        <w:t xml:space="preserve">used as part of the </w:t>
                      </w:r>
                      <w:r w:rsidR="002B1FF1" w:rsidRPr="00A9715A">
                        <w:rPr>
                          <w:rFonts w:ascii="Arial" w:hAnsi="Arial" w:cs="Arial"/>
                          <w:sz w:val="19"/>
                          <w:szCs w:val="19"/>
                        </w:rPr>
                        <w:t xml:space="preserve">2022-2023 Ukraine </w:t>
                      </w:r>
                      <w:r w:rsidRPr="000C7BBB">
                        <w:rPr>
                          <w:rFonts w:ascii="Arial" w:hAnsi="Arial" w:cs="Arial"/>
                          <w:sz w:val="19"/>
                          <w:szCs w:val="19"/>
                        </w:rPr>
                        <w:t>response in Slovakia.</w:t>
                      </w:r>
                      <w:r w:rsidR="0086089B" w:rsidRPr="000C7BBB">
                        <w:rPr>
                          <w:rFonts w:ascii="Arial" w:hAnsi="Arial" w:cs="Arial"/>
                          <w:sz w:val="19"/>
                          <w:szCs w:val="19"/>
                        </w:rPr>
                        <w:t xml:space="preserve"> Worth looking at both examples, since they are slightly different in terms of setup and detail.</w:t>
                      </w:r>
                    </w:p>
                  </w:txbxContent>
                </v:textbox>
                <w10:wrap type="square"/>
              </v:shape>
            </w:pict>
          </mc:Fallback>
        </mc:AlternateContent>
      </w:r>
      <w:r w:rsidRPr="000C7BBB">
        <w:rPr>
          <w:rFonts w:ascii="Arial" w:hAnsi="Arial" w:cs="Arial"/>
          <w:sz w:val="19"/>
          <w:szCs w:val="19"/>
        </w:rPr>
        <w:t xml:space="preserve">Tools and </w:t>
      </w:r>
      <w:r w:rsidR="002B1FF1">
        <w:rPr>
          <w:rFonts w:ascii="Arial" w:hAnsi="Arial" w:cs="Arial"/>
          <w:sz w:val="19"/>
          <w:szCs w:val="19"/>
        </w:rPr>
        <w:t>e</w:t>
      </w:r>
      <w:r w:rsidRPr="000C7BBB">
        <w:rPr>
          <w:rFonts w:ascii="Arial" w:hAnsi="Arial" w:cs="Arial"/>
          <w:sz w:val="19"/>
          <w:szCs w:val="19"/>
        </w:rPr>
        <w:t>xamples from the toolkit, that may be useful to assist here include:</w:t>
      </w:r>
    </w:p>
    <w:p w14:paraId="17679759" w14:textId="039E9E7C" w:rsidR="00CC0ED3" w:rsidRPr="000C7BBB" w:rsidRDefault="000C7BBB" w:rsidP="00D83231">
      <w:pPr>
        <w:pStyle w:val="Heading1"/>
        <w:rPr>
          <w:rFonts w:ascii="Century Gothic" w:hAnsi="Century Gothic" w:cs="Arial"/>
          <w:b/>
          <w:bCs/>
          <w:sz w:val="22"/>
          <w:szCs w:val="22"/>
        </w:rPr>
      </w:pPr>
      <w:bookmarkStart w:id="1" w:name="_Toc142739479"/>
      <w:r>
        <w:rPr>
          <w:rFonts w:ascii="Arial" w:hAnsi="Arial" w:cs="Arial"/>
          <w:sz w:val="19"/>
          <w:szCs w:val="19"/>
        </w:rPr>
        <w:br/>
      </w:r>
      <w:r w:rsidR="00CC0ED3" w:rsidRPr="000C7BBB">
        <w:rPr>
          <w:rFonts w:ascii="Century Gothic" w:hAnsi="Century Gothic" w:cs="Arial"/>
          <w:b/>
          <w:bCs/>
          <w:color w:val="F5333F"/>
          <w:sz w:val="22"/>
          <w:szCs w:val="22"/>
        </w:rPr>
        <w:t>Establishing the rental payment transfer value</w:t>
      </w:r>
      <w:bookmarkEnd w:id="1"/>
      <w:r w:rsidRPr="000C7BBB">
        <w:rPr>
          <w:rFonts w:ascii="Century Gothic" w:hAnsi="Century Gothic" w:cs="Arial"/>
          <w:b/>
          <w:bCs/>
          <w:color w:val="F5333F"/>
          <w:sz w:val="22"/>
          <w:szCs w:val="22"/>
        </w:rPr>
        <w:br/>
      </w:r>
    </w:p>
    <w:p w14:paraId="29FEF4A7" w14:textId="37A1720E" w:rsidR="00CC0ED3" w:rsidRPr="000C7BBB" w:rsidRDefault="00CC0ED3" w:rsidP="00DB2ABE">
      <w:pPr>
        <w:jc w:val="both"/>
        <w:rPr>
          <w:rFonts w:ascii="Arial" w:hAnsi="Arial" w:cs="Arial"/>
          <w:sz w:val="19"/>
          <w:szCs w:val="19"/>
        </w:rPr>
      </w:pPr>
      <w:r w:rsidRPr="000C7BBB">
        <w:rPr>
          <w:rFonts w:ascii="Arial" w:hAnsi="Arial" w:cs="Arial"/>
          <w:sz w:val="19"/>
          <w:szCs w:val="19"/>
        </w:rPr>
        <w:t xml:space="preserve">From the rental housing market </w:t>
      </w:r>
      <w:r w:rsidR="45187B00" w:rsidRPr="000C7BBB">
        <w:rPr>
          <w:rFonts w:ascii="Arial" w:hAnsi="Arial" w:cs="Arial"/>
          <w:sz w:val="19"/>
          <w:szCs w:val="19"/>
        </w:rPr>
        <w:t xml:space="preserve">assessment, </w:t>
      </w:r>
      <w:r w:rsidRPr="000C7BBB">
        <w:rPr>
          <w:rFonts w:ascii="Arial" w:hAnsi="Arial" w:cs="Arial"/>
          <w:sz w:val="19"/>
          <w:szCs w:val="19"/>
        </w:rPr>
        <w:t>it is necessary to establish the transfer value that will be used each month</w:t>
      </w:r>
      <w:r w:rsidR="00451FB3" w:rsidRPr="000C7BBB">
        <w:rPr>
          <w:rFonts w:ascii="Arial" w:hAnsi="Arial" w:cs="Arial"/>
          <w:sz w:val="19"/>
          <w:szCs w:val="19"/>
        </w:rPr>
        <w:t xml:space="preserve"> for different </w:t>
      </w:r>
      <w:r w:rsidR="006156DA" w:rsidRPr="000C7BBB">
        <w:rPr>
          <w:rFonts w:ascii="Arial" w:hAnsi="Arial" w:cs="Arial"/>
          <w:sz w:val="19"/>
          <w:szCs w:val="19"/>
        </w:rPr>
        <w:t xml:space="preserve">rental accommodation units (e.g. 1 bedroom, </w:t>
      </w:r>
      <w:proofErr w:type="gramStart"/>
      <w:r w:rsidR="006156DA" w:rsidRPr="000C7BBB">
        <w:rPr>
          <w:rFonts w:ascii="Arial" w:hAnsi="Arial" w:cs="Arial"/>
          <w:sz w:val="19"/>
          <w:szCs w:val="19"/>
        </w:rPr>
        <w:t>2 bedroom</w:t>
      </w:r>
      <w:proofErr w:type="gramEnd"/>
      <w:r w:rsidR="006156DA" w:rsidRPr="000C7BBB">
        <w:rPr>
          <w:rFonts w:ascii="Arial" w:hAnsi="Arial" w:cs="Arial"/>
          <w:sz w:val="19"/>
          <w:szCs w:val="19"/>
        </w:rPr>
        <w:t xml:space="preserve"> apartment etc.)</w:t>
      </w:r>
      <w:r w:rsidRPr="000C7BBB">
        <w:rPr>
          <w:rFonts w:ascii="Arial" w:hAnsi="Arial" w:cs="Arial"/>
          <w:sz w:val="19"/>
          <w:szCs w:val="19"/>
        </w:rPr>
        <w:t>. It is recommended that:</w:t>
      </w:r>
    </w:p>
    <w:p w14:paraId="1333DE50" w14:textId="72EA2A92" w:rsidR="0076528D" w:rsidRPr="000C7BBB" w:rsidRDefault="00CC0ED3" w:rsidP="00DB2ABE">
      <w:pPr>
        <w:pStyle w:val="ListParagraph"/>
        <w:numPr>
          <w:ilvl w:val="0"/>
          <w:numId w:val="26"/>
        </w:numPr>
        <w:jc w:val="both"/>
        <w:rPr>
          <w:rFonts w:ascii="Arial" w:hAnsi="Arial" w:cs="Arial"/>
          <w:sz w:val="19"/>
          <w:szCs w:val="19"/>
        </w:rPr>
      </w:pPr>
      <w:r w:rsidRPr="000C7BBB">
        <w:rPr>
          <w:rFonts w:ascii="Arial" w:hAnsi="Arial" w:cs="Arial"/>
          <w:sz w:val="19"/>
          <w:szCs w:val="19"/>
        </w:rPr>
        <w:t xml:space="preserve">this is kept at an </w:t>
      </w:r>
      <w:r w:rsidR="0076528D" w:rsidRPr="000C7BBB">
        <w:rPr>
          <w:rFonts w:ascii="Arial" w:hAnsi="Arial" w:cs="Arial"/>
          <w:sz w:val="19"/>
          <w:szCs w:val="19"/>
          <w:u w:val="single"/>
        </w:rPr>
        <w:t>affordable average</w:t>
      </w:r>
      <w:r w:rsidR="0076528D" w:rsidRPr="000C7BBB">
        <w:rPr>
          <w:rFonts w:ascii="Arial" w:hAnsi="Arial" w:cs="Arial"/>
          <w:sz w:val="19"/>
          <w:szCs w:val="19"/>
        </w:rPr>
        <w:t xml:space="preserve"> of that found from the rental market assessment for the unit of interest</w:t>
      </w:r>
      <w:r w:rsidR="004A0A50" w:rsidRPr="000C7BBB">
        <w:rPr>
          <w:rFonts w:ascii="Arial" w:hAnsi="Arial" w:cs="Arial"/>
          <w:sz w:val="19"/>
          <w:szCs w:val="19"/>
        </w:rPr>
        <w:t xml:space="preserve"> (e.g. 1 bedroom, </w:t>
      </w:r>
      <w:proofErr w:type="gramStart"/>
      <w:r w:rsidR="004A0A50" w:rsidRPr="000C7BBB">
        <w:rPr>
          <w:rFonts w:ascii="Arial" w:hAnsi="Arial" w:cs="Arial"/>
          <w:sz w:val="19"/>
          <w:szCs w:val="19"/>
        </w:rPr>
        <w:t>2 bedroom</w:t>
      </w:r>
      <w:proofErr w:type="gramEnd"/>
      <w:r w:rsidR="004A0A50" w:rsidRPr="000C7BBB">
        <w:rPr>
          <w:rFonts w:ascii="Arial" w:hAnsi="Arial" w:cs="Arial"/>
          <w:sz w:val="19"/>
          <w:szCs w:val="19"/>
        </w:rPr>
        <w:t xml:space="preserve"> apartment etc.)</w:t>
      </w:r>
      <w:r w:rsidRPr="000C7BBB">
        <w:rPr>
          <w:rFonts w:ascii="Arial" w:hAnsi="Arial" w:cs="Arial"/>
          <w:sz w:val="19"/>
          <w:szCs w:val="19"/>
        </w:rPr>
        <w:t>, so that</w:t>
      </w:r>
      <w:r w:rsidR="0076528D" w:rsidRPr="000C7BBB">
        <w:rPr>
          <w:rFonts w:ascii="Arial" w:hAnsi="Arial" w:cs="Arial"/>
          <w:sz w:val="19"/>
          <w:szCs w:val="19"/>
        </w:rPr>
        <w:t>:</w:t>
      </w:r>
    </w:p>
    <w:p w14:paraId="5B9DD6FF" w14:textId="7A2B29B2" w:rsidR="0076528D" w:rsidRPr="000C7BBB" w:rsidRDefault="00CC0ED3" w:rsidP="00DB2ABE">
      <w:pPr>
        <w:pStyle w:val="ListParagraph"/>
        <w:numPr>
          <w:ilvl w:val="1"/>
          <w:numId w:val="27"/>
        </w:numPr>
        <w:jc w:val="both"/>
        <w:rPr>
          <w:rFonts w:ascii="Arial" w:hAnsi="Arial" w:cs="Arial"/>
          <w:sz w:val="19"/>
          <w:szCs w:val="19"/>
        </w:rPr>
      </w:pPr>
      <w:r w:rsidRPr="000C7BBB">
        <w:rPr>
          <w:rFonts w:ascii="Arial" w:hAnsi="Arial" w:cs="Arial"/>
          <w:sz w:val="19"/>
          <w:szCs w:val="19"/>
        </w:rPr>
        <w:t xml:space="preserve">those assisted </w:t>
      </w:r>
      <w:proofErr w:type="gramStart"/>
      <w:r w:rsidRPr="000C7BBB">
        <w:rPr>
          <w:rFonts w:ascii="Arial" w:hAnsi="Arial" w:cs="Arial"/>
          <w:sz w:val="19"/>
          <w:szCs w:val="19"/>
        </w:rPr>
        <w:t>are able to</w:t>
      </w:r>
      <w:proofErr w:type="gramEnd"/>
      <w:r w:rsidRPr="000C7BBB">
        <w:rPr>
          <w:rFonts w:ascii="Arial" w:hAnsi="Arial" w:cs="Arial"/>
          <w:sz w:val="19"/>
          <w:szCs w:val="19"/>
        </w:rPr>
        <w:t xml:space="preserve"> find accommodation that meets their needs</w:t>
      </w:r>
      <w:r w:rsidR="0076528D" w:rsidRPr="000C7BBB">
        <w:rPr>
          <w:rFonts w:ascii="Arial" w:hAnsi="Arial" w:cs="Arial"/>
          <w:sz w:val="19"/>
          <w:szCs w:val="19"/>
        </w:rPr>
        <w:t xml:space="preserve"> and that they could feasibly continue renting once the rental payment support ends.</w:t>
      </w:r>
      <w:r w:rsidR="00E45074" w:rsidRPr="000C7BBB">
        <w:rPr>
          <w:rFonts w:ascii="Arial" w:hAnsi="Arial" w:cs="Arial"/>
          <w:sz w:val="19"/>
          <w:szCs w:val="19"/>
        </w:rPr>
        <w:t xml:space="preserve"> i.e. consider </w:t>
      </w:r>
      <w:r w:rsidR="00892C5D" w:rsidRPr="000C7BBB">
        <w:rPr>
          <w:rFonts w:ascii="Arial" w:hAnsi="Arial" w:cs="Arial"/>
          <w:sz w:val="19"/>
          <w:szCs w:val="19"/>
        </w:rPr>
        <w:t>the exit strategy</w:t>
      </w:r>
      <w:r w:rsidR="00E45074" w:rsidRPr="000C7BBB">
        <w:rPr>
          <w:rFonts w:ascii="Arial" w:hAnsi="Arial" w:cs="Arial"/>
          <w:sz w:val="19"/>
          <w:szCs w:val="19"/>
        </w:rPr>
        <w:t>.</w:t>
      </w:r>
    </w:p>
    <w:p w14:paraId="4F345F31" w14:textId="6B188F50" w:rsidR="0076528D" w:rsidRPr="000C7BBB" w:rsidRDefault="0076528D" w:rsidP="00DB2ABE">
      <w:pPr>
        <w:pStyle w:val="ListParagraph"/>
        <w:numPr>
          <w:ilvl w:val="1"/>
          <w:numId w:val="27"/>
        </w:numPr>
        <w:jc w:val="both"/>
        <w:rPr>
          <w:rFonts w:ascii="Arial" w:hAnsi="Arial" w:cs="Arial"/>
          <w:sz w:val="19"/>
          <w:szCs w:val="19"/>
        </w:rPr>
      </w:pPr>
      <w:r w:rsidRPr="000C7BBB">
        <w:rPr>
          <w:rFonts w:ascii="Arial" w:hAnsi="Arial" w:cs="Arial"/>
          <w:sz w:val="19"/>
          <w:szCs w:val="19"/>
        </w:rPr>
        <w:t>decrease the</w:t>
      </w:r>
      <w:r w:rsidR="00CC0ED3" w:rsidRPr="000C7BBB">
        <w:rPr>
          <w:rFonts w:ascii="Arial" w:hAnsi="Arial" w:cs="Arial"/>
          <w:sz w:val="19"/>
          <w:szCs w:val="19"/>
        </w:rPr>
        <w:t xml:space="preserve"> risk</w:t>
      </w:r>
      <w:r w:rsidRPr="000C7BBB">
        <w:rPr>
          <w:rFonts w:ascii="Arial" w:hAnsi="Arial" w:cs="Arial"/>
          <w:sz w:val="19"/>
          <w:szCs w:val="19"/>
        </w:rPr>
        <w:t xml:space="preserve"> of</w:t>
      </w:r>
      <w:r w:rsidR="00CC0ED3" w:rsidRPr="000C7BBB">
        <w:rPr>
          <w:rFonts w:ascii="Arial" w:hAnsi="Arial" w:cs="Arial"/>
          <w:sz w:val="19"/>
          <w:szCs w:val="19"/>
        </w:rPr>
        <w:t xml:space="preserve"> causing inflation in the market</w:t>
      </w:r>
    </w:p>
    <w:p w14:paraId="23022EC0" w14:textId="72C9794A" w:rsidR="0076528D" w:rsidRPr="000C7BBB" w:rsidRDefault="0076528D" w:rsidP="00DB2ABE">
      <w:pPr>
        <w:pStyle w:val="ListParagraph"/>
        <w:numPr>
          <w:ilvl w:val="1"/>
          <w:numId w:val="27"/>
        </w:numPr>
        <w:jc w:val="both"/>
        <w:rPr>
          <w:rFonts w:ascii="Arial" w:hAnsi="Arial" w:cs="Arial"/>
          <w:sz w:val="19"/>
          <w:szCs w:val="19"/>
        </w:rPr>
      </w:pPr>
      <w:r w:rsidRPr="000C7BBB">
        <w:rPr>
          <w:rFonts w:ascii="Arial" w:hAnsi="Arial" w:cs="Arial"/>
          <w:sz w:val="19"/>
          <w:szCs w:val="19"/>
        </w:rPr>
        <w:t xml:space="preserve">decreases the risk of </w:t>
      </w:r>
      <w:r w:rsidR="00CC0ED3" w:rsidRPr="000C7BBB">
        <w:rPr>
          <w:rFonts w:ascii="Arial" w:hAnsi="Arial" w:cs="Arial"/>
          <w:sz w:val="19"/>
          <w:szCs w:val="19"/>
        </w:rPr>
        <w:t>social tension</w:t>
      </w:r>
      <w:r w:rsidRPr="000C7BBB">
        <w:rPr>
          <w:rFonts w:ascii="Arial" w:hAnsi="Arial" w:cs="Arial"/>
          <w:sz w:val="19"/>
          <w:szCs w:val="19"/>
        </w:rPr>
        <w:t>. Set the transfer value too high and</w:t>
      </w:r>
      <w:r w:rsidR="00CC0ED3" w:rsidRPr="000C7BBB">
        <w:rPr>
          <w:rFonts w:ascii="Arial" w:hAnsi="Arial" w:cs="Arial"/>
          <w:sz w:val="19"/>
          <w:szCs w:val="19"/>
        </w:rPr>
        <w:t xml:space="preserve"> the host community </w:t>
      </w:r>
      <w:r w:rsidRPr="000C7BBB">
        <w:rPr>
          <w:rFonts w:ascii="Arial" w:hAnsi="Arial" w:cs="Arial"/>
          <w:sz w:val="19"/>
          <w:szCs w:val="19"/>
        </w:rPr>
        <w:t>may feel that the RC is enabling the displaced to out compete the host community for rental properties.</w:t>
      </w:r>
    </w:p>
    <w:p w14:paraId="3B0F361D" w14:textId="0C9D7F8F" w:rsidR="00CC0ED3" w:rsidRPr="000C7BBB" w:rsidRDefault="00CC0ED3" w:rsidP="00DB2ABE">
      <w:pPr>
        <w:pStyle w:val="ListParagraph"/>
        <w:numPr>
          <w:ilvl w:val="0"/>
          <w:numId w:val="26"/>
        </w:numPr>
        <w:jc w:val="both"/>
        <w:rPr>
          <w:rFonts w:ascii="Arial" w:hAnsi="Arial" w:cs="Arial"/>
          <w:sz w:val="19"/>
          <w:szCs w:val="19"/>
        </w:rPr>
      </w:pPr>
      <w:r w:rsidRPr="000C7BBB">
        <w:rPr>
          <w:rFonts w:ascii="Arial" w:hAnsi="Arial" w:cs="Arial"/>
          <w:sz w:val="19"/>
          <w:szCs w:val="19"/>
        </w:rPr>
        <w:t xml:space="preserve">Larger families, and those with disabilities or chronic illness may have different housing needs and so you may establish </w:t>
      </w:r>
      <w:r w:rsidR="0076528D" w:rsidRPr="000C7BBB">
        <w:rPr>
          <w:rFonts w:ascii="Arial" w:hAnsi="Arial" w:cs="Arial"/>
          <w:sz w:val="19"/>
          <w:szCs w:val="19"/>
        </w:rPr>
        <w:t xml:space="preserve">banded support tiers. For </w:t>
      </w:r>
      <w:proofErr w:type="gramStart"/>
      <w:r w:rsidR="0076528D" w:rsidRPr="000C7BBB">
        <w:rPr>
          <w:rFonts w:ascii="Arial" w:hAnsi="Arial" w:cs="Arial"/>
          <w:sz w:val="19"/>
          <w:szCs w:val="19"/>
        </w:rPr>
        <w:t>example</w:t>
      </w:r>
      <w:proofErr w:type="gramEnd"/>
      <w:r w:rsidR="0076528D" w:rsidRPr="000C7BBB">
        <w:rPr>
          <w:rFonts w:ascii="Arial" w:hAnsi="Arial" w:cs="Arial"/>
          <w:sz w:val="19"/>
          <w:szCs w:val="19"/>
        </w:rPr>
        <w:t xml:space="preserve"> 1 adult with 2 young children under 5 may only be supported with a 1 bed apartment, whereas 1 adult with 2 children over 5 may be supported with a 2 bed apartment. These different types of accommodation units will require direct rental payment transfer values.</w:t>
      </w:r>
    </w:p>
    <w:p w14:paraId="68F96E86" w14:textId="30E7FB38" w:rsidR="00CC0ED3" w:rsidRPr="000C7BBB" w:rsidRDefault="0076528D" w:rsidP="00DB2ABE">
      <w:pPr>
        <w:jc w:val="both"/>
        <w:rPr>
          <w:rFonts w:ascii="Arial" w:hAnsi="Arial" w:cs="Arial"/>
          <w:sz w:val="19"/>
          <w:szCs w:val="19"/>
        </w:rPr>
      </w:pPr>
      <w:r w:rsidRPr="000C7BBB">
        <w:rPr>
          <w:rFonts w:ascii="Arial" w:hAnsi="Arial" w:cs="Arial"/>
          <w:sz w:val="19"/>
          <w:szCs w:val="19"/>
        </w:rPr>
        <w:t>On occasion it may be argued that the programme should decrease the rental payment transfer value by that allowed for housing in any multi-purpose cash assistance (MPCA). This is not recommended because the programmes may target different households, and the MPCA may cease or be scaled down, prior to the completion of the rental programme.</w:t>
      </w:r>
    </w:p>
    <w:p w14:paraId="1F36DFC7" w14:textId="09D621FD" w:rsidR="004A0A50" w:rsidRPr="000C7BBB" w:rsidRDefault="004A0A50" w:rsidP="00DB2ABE">
      <w:pPr>
        <w:jc w:val="both"/>
        <w:rPr>
          <w:rFonts w:ascii="Arial" w:hAnsi="Arial" w:cs="Arial"/>
          <w:sz w:val="19"/>
          <w:szCs w:val="19"/>
        </w:rPr>
      </w:pPr>
      <w:r w:rsidRPr="000C7BBB">
        <w:rPr>
          <w:rFonts w:ascii="Arial" w:hAnsi="Arial" w:cs="Arial"/>
          <w:sz w:val="19"/>
          <w:szCs w:val="19"/>
        </w:rPr>
        <w:t>Note that in general</w:t>
      </w:r>
      <w:r w:rsidR="00397C06" w:rsidRPr="000C7BBB">
        <w:rPr>
          <w:rFonts w:ascii="Arial" w:hAnsi="Arial" w:cs="Arial"/>
          <w:sz w:val="19"/>
          <w:szCs w:val="19"/>
        </w:rPr>
        <w:t>,</w:t>
      </w:r>
      <w:r w:rsidR="008A06CB" w:rsidRPr="000C7BBB">
        <w:rPr>
          <w:rFonts w:ascii="Arial" w:hAnsi="Arial" w:cs="Arial"/>
          <w:sz w:val="19"/>
          <w:szCs w:val="19"/>
        </w:rPr>
        <w:t xml:space="preserve"> when paid to the tenant</w:t>
      </w:r>
      <w:r w:rsidR="00534D8B">
        <w:rPr>
          <w:rFonts w:ascii="Arial" w:hAnsi="Arial" w:cs="Arial"/>
          <w:sz w:val="19"/>
          <w:szCs w:val="19"/>
        </w:rPr>
        <w:t>,</w:t>
      </w:r>
      <w:r w:rsidR="008A06CB" w:rsidRPr="000C7BBB">
        <w:rPr>
          <w:rFonts w:ascii="Arial" w:hAnsi="Arial" w:cs="Arial"/>
          <w:sz w:val="19"/>
          <w:szCs w:val="19"/>
        </w:rPr>
        <w:t xml:space="preserve"> it is recommended for simplicity</w:t>
      </w:r>
      <w:r w:rsidR="00397C06" w:rsidRPr="000C7BBB">
        <w:rPr>
          <w:rFonts w:ascii="Arial" w:hAnsi="Arial" w:cs="Arial"/>
          <w:sz w:val="19"/>
          <w:szCs w:val="19"/>
        </w:rPr>
        <w:t xml:space="preserve"> of the programme and to empower the tenant </w:t>
      </w:r>
      <w:r w:rsidR="00A65089" w:rsidRPr="000C7BBB">
        <w:rPr>
          <w:rFonts w:ascii="Arial" w:hAnsi="Arial" w:cs="Arial"/>
          <w:sz w:val="19"/>
          <w:szCs w:val="19"/>
        </w:rPr>
        <w:t xml:space="preserve">to </w:t>
      </w:r>
      <w:r w:rsidR="00397C06" w:rsidRPr="000C7BBB">
        <w:rPr>
          <w:rFonts w:ascii="Arial" w:hAnsi="Arial" w:cs="Arial"/>
          <w:sz w:val="19"/>
          <w:szCs w:val="19"/>
        </w:rPr>
        <w:t>negotiat</w:t>
      </w:r>
      <w:r w:rsidR="00A65089" w:rsidRPr="000C7BBB">
        <w:rPr>
          <w:rFonts w:ascii="Arial" w:hAnsi="Arial" w:cs="Arial"/>
          <w:sz w:val="19"/>
          <w:szCs w:val="19"/>
        </w:rPr>
        <w:t xml:space="preserve">e </w:t>
      </w:r>
      <w:r w:rsidR="00A845E0" w:rsidRPr="000C7BBB">
        <w:rPr>
          <w:rFonts w:ascii="Arial" w:hAnsi="Arial" w:cs="Arial"/>
          <w:sz w:val="19"/>
          <w:szCs w:val="19"/>
        </w:rPr>
        <w:t>with property owners</w:t>
      </w:r>
      <w:r w:rsidR="00397C06" w:rsidRPr="000C7BBB">
        <w:rPr>
          <w:rFonts w:ascii="Arial" w:hAnsi="Arial" w:cs="Arial"/>
          <w:sz w:val="19"/>
          <w:szCs w:val="19"/>
        </w:rPr>
        <w:t>,</w:t>
      </w:r>
      <w:r w:rsidR="008A06CB" w:rsidRPr="000C7BBB">
        <w:rPr>
          <w:rFonts w:ascii="Arial" w:hAnsi="Arial" w:cs="Arial"/>
          <w:sz w:val="19"/>
          <w:szCs w:val="19"/>
        </w:rPr>
        <w:t xml:space="preserve"> that </w:t>
      </w:r>
      <w:r w:rsidR="006D248A" w:rsidRPr="000C7BBB">
        <w:rPr>
          <w:rFonts w:ascii="Arial" w:hAnsi="Arial" w:cs="Arial"/>
          <w:sz w:val="19"/>
          <w:szCs w:val="19"/>
        </w:rPr>
        <w:t>an amount is given based on the bands</w:t>
      </w:r>
      <w:r w:rsidR="008A06CB" w:rsidRPr="000C7BBB">
        <w:rPr>
          <w:rFonts w:ascii="Arial" w:hAnsi="Arial" w:cs="Arial"/>
          <w:sz w:val="19"/>
          <w:szCs w:val="19"/>
        </w:rPr>
        <w:t xml:space="preserve"> </w:t>
      </w:r>
      <w:r w:rsidR="006D248A" w:rsidRPr="000C7BBB">
        <w:rPr>
          <w:rFonts w:ascii="Arial" w:hAnsi="Arial" w:cs="Arial"/>
          <w:sz w:val="19"/>
          <w:szCs w:val="19"/>
        </w:rPr>
        <w:t>(e.g. household composition band</w:t>
      </w:r>
      <w:r w:rsidR="00FA097F" w:rsidRPr="000C7BBB">
        <w:rPr>
          <w:rFonts w:ascii="Arial" w:hAnsi="Arial" w:cs="Arial"/>
          <w:sz w:val="19"/>
          <w:szCs w:val="19"/>
        </w:rPr>
        <w:t>ing</w:t>
      </w:r>
      <w:r w:rsidR="006D248A" w:rsidRPr="000C7BBB">
        <w:rPr>
          <w:rFonts w:ascii="Arial" w:hAnsi="Arial" w:cs="Arial"/>
          <w:sz w:val="19"/>
          <w:szCs w:val="19"/>
        </w:rPr>
        <w:t>)</w:t>
      </w:r>
      <w:r w:rsidR="00A65089" w:rsidRPr="000C7BBB">
        <w:rPr>
          <w:rFonts w:ascii="Arial" w:hAnsi="Arial" w:cs="Arial"/>
          <w:sz w:val="19"/>
          <w:szCs w:val="19"/>
        </w:rPr>
        <w:t>, not based on the tenancy agreement amount.</w:t>
      </w:r>
      <w:r w:rsidR="00A845E0" w:rsidRPr="000C7BBB">
        <w:rPr>
          <w:rFonts w:ascii="Arial" w:hAnsi="Arial" w:cs="Arial"/>
          <w:sz w:val="19"/>
          <w:szCs w:val="19"/>
        </w:rPr>
        <w:t xml:space="preserve"> This</w:t>
      </w:r>
      <w:r w:rsidR="00FA097F" w:rsidRPr="000C7BBB">
        <w:rPr>
          <w:rFonts w:ascii="Arial" w:hAnsi="Arial" w:cs="Arial"/>
          <w:sz w:val="19"/>
          <w:szCs w:val="19"/>
        </w:rPr>
        <w:t>,</w:t>
      </w:r>
      <w:r w:rsidR="00A845E0" w:rsidRPr="000C7BBB">
        <w:rPr>
          <w:rFonts w:ascii="Arial" w:hAnsi="Arial" w:cs="Arial"/>
          <w:sz w:val="19"/>
          <w:szCs w:val="19"/>
        </w:rPr>
        <w:t xml:space="preserve"> to some extent can allow tenants to make small savings and use the remaining funds for </w:t>
      </w:r>
      <w:r w:rsidR="00BD6D3A" w:rsidRPr="000C7BBB">
        <w:rPr>
          <w:rFonts w:ascii="Arial" w:hAnsi="Arial" w:cs="Arial"/>
          <w:sz w:val="19"/>
          <w:szCs w:val="19"/>
        </w:rPr>
        <w:t>other needs (like utilities for example), or to instead to add their own funds if the rent of the unit is more than what they are eligible for.</w:t>
      </w:r>
      <w:r w:rsidR="00FA097F" w:rsidRPr="000C7BBB">
        <w:rPr>
          <w:rFonts w:ascii="Arial" w:hAnsi="Arial" w:cs="Arial"/>
          <w:sz w:val="19"/>
          <w:szCs w:val="19"/>
        </w:rPr>
        <w:t xml:space="preserve"> This can also help in avoiding inflation in the rental market.</w:t>
      </w:r>
    </w:p>
    <w:p w14:paraId="78AC4447" w14:textId="20C938EC" w:rsidR="002573CD" w:rsidRPr="000C7BBB" w:rsidRDefault="002573CD" w:rsidP="00DB2ABE">
      <w:pPr>
        <w:pStyle w:val="Heading1"/>
        <w:jc w:val="both"/>
        <w:rPr>
          <w:rFonts w:ascii="Century Gothic" w:hAnsi="Century Gothic" w:cs="Arial"/>
          <w:b/>
          <w:bCs/>
          <w:color w:val="F5333F"/>
          <w:sz w:val="22"/>
          <w:szCs w:val="22"/>
        </w:rPr>
      </w:pPr>
      <w:r w:rsidRPr="000C7BBB">
        <w:rPr>
          <w:rFonts w:ascii="Century Gothic" w:hAnsi="Century Gothic" w:cs="Arial"/>
          <w:b/>
          <w:bCs/>
          <w:color w:val="F5333F"/>
          <w:sz w:val="22"/>
          <w:szCs w:val="22"/>
        </w:rPr>
        <w:t xml:space="preserve">Impact of the </w:t>
      </w:r>
      <w:r w:rsidR="00CB5C68" w:rsidRPr="000C7BBB">
        <w:rPr>
          <w:rFonts w:ascii="Century Gothic" w:hAnsi="Century Gothic" w:cs="Arial"/>
          <w:b/>
          <w:bCs/>
          <w:color w:val="F5333F"/>
          <w:sz w:val="22"/>
          <w:szCs w:val="22"/>
        </w:rPr>
        <w:t>s</w:t>
      </w:r>
      <w:r w:rsidRPr="000C7BBB">
        <w:rPr>
          <w:rFonts w:ascii="Century Gothic" w:hAnsi="Century Gothic" w:cs="Arial"/>
          <w:b/>
          <w:bCs/>
          <w:color w:val="F5333F"/>
          <w:sz w:val="22"/>
          <w:szCs w:val="22"/>
        </w:rPr>
        <w:t xml:space="preserve">ocial </w:t>
      </w:r>
      <w:r w:rsidR="00CB5C68" w:rsidRPr="000C7BBB">
        <w:rPr>
          <w:rFonts w:ascii="Century Gothic" w:hAnsi="Century Gothic" w:cs="Arial"/>
          <w:b/>
          <w:bCs/>
          <w:color w:val="F5333F"/>
          <w:sz w:val="22"/>
          <w:szCs w:val="22"/>
        </w:rPr>
        <w:t>p</w:t>
      </w:r>
      <w:r w:rsidRPr="000C7BBB">
        <w:rPr>
          <w:rFonts w:ascii="Century Gothic" w:hAnsi="Century Gothic" w:cs="Arial"/>
          <w:b/>
          <w:bCs/>
          <w:color w:val="F5333F"/>
          <w:sz w:val="22"/>
          <w:szCs w:val="22"/>
        </w:rPr>
        <w:t>rotection system when setting transfer value</w:t>
      </w:r>
    </w:p>
    <w:p w14:paraId="02A1AFDC" w14:textId="25F051A1" w:rsidR="00CB5C68" w:rsidRPr="000C7BBB" w:rsidRDefault="000C7BBB" w:rsidP="00DB2ABE">
      <w:pPr>
        <w:jc w:val="both"/>
        <w:rPr>
          <w:rFonts w:ascii="Arial" w:hAnsi="Arial" w:cs="Arial"/>
          <w:sz w:val="19"/>
          <w:szCs w:val="19"/>
        </w:rPr>
      </w:pPr>
      <w:r>
        <w:rPr>
          <w:rFonts w:ascii="Arial" w:hAnsi="Arial" w:cs="Arial"/>
          <w:sz w:val="19"/>
          <w:szCs w:val="19"/>
        </w:rPr>
        <w:br/>
      </w:r>
      <w:r w:rsidR="00AD46EF" w:rsidRPr="000C7BBB">
        <w:rPr>
          <w:rFonts w:ascii="Arial" w:hAnsi="Arial" w:cs="Arial"/>
          <w:sz w:val="19"/>
          <w:szCs w:val="19"/>
        </w:rPr>
        <w:t xml:space="preserve">The social protection system can impact </w:t>
      </w:r>
      <w:r w:rsidR="00CB5C68" w:rsidRPr="000C7BBB">
        <w:rPr>
          <w:rFonts w:ascii="Arial" w:hAnsi="Arial" w:cs="Arial"/>
          <w:sz w:val="19"/>
          <w:szCs w:val="19"/>
        </w:rPr>
        <w:t>the transfer value in a range of ways:</w:t>
      </w:r>
    </w:p>
    <w:p w14:paraId="7EB0FD73" w14:textId="46309A68" w:rsidR="00CB5C68" w:rsidRPr="000C7BBB" w:rsidRDefault="00660DC8" w:rsidP="00DB2ABE">
      <w:pPr>
        <w:pStyle w:val="ListParagraph"/>
        <w:numPr>
          <w:ilvl w:val="0"/>
          <w:numId w:val="33"/>
        </w:numPr>
        <w:jc w:val="both"/>
        <w:rPr>
          <w:rFonts w:ascii="Arial" w:hAnsi="Arial" w:cs="Arial"/>
          <w:sz w:val="19"/>
          <w:szCs w:val="19"/>
        </w:rPr>
      </w:pPr>
      <w:r w:rsidRPr="000C7BBB">
        <w:rPr>
          <w:rFonts w:ascii="Arial" w:hAnsi="Arial" w:cs="Arial"/>
          <w:sz w:val="19"/>
          <w:szCs w:val="19"/>
        </w:rPr>
        <w:t>There may be a local housing allowance set by authorities</w:t>
      </w:r>
      <w:r w:rsidR="00BE0228" w:rsidRPr="000C7BBB">
        <w:rPr>
          <w:rFonts w:ascii="Arial" w:hAnsi="Arial" w:cs="Arial"/>
          <w:sz w:val="19"/>
          <w:szCs w:val="19"/>
        </w:rPr>
        <w:t xml:space="preserve"> </w:t>
      </w:r>
      <w:r w:rsidR="6308089C" w:rsidRPr="000C7BBB">
        <w:rPr>
          <w:rFonts w:ascii="Arial" w:hAnsi="Arial" w:cs="Arial"/>
          <w:sz w:val="19"/>
          <w:szCs w:val="19"/>
        </w:rPr>
        <w:t>a</w:t>
      </w:r>
      <w:r w:rsidR="00BE0228" w:rsidRPr="000C7BBB">
        <w:rPr>
          <w:rFonts w:ascii="Arial" w:hAnsi="Arial" w:cs="Arial"/>
          <w:sz w:val="19"/>
          <w:szCs w:val="19"/>
        </w:rPr>
        <w:t xml:space="preserve">s part of the domestic social </w:t>
      </w:r>
      <w:r w:rsidR="62993FF2" w:rsidRPr="000C7BBB">
        <w:rPr>
          <w:rFonts w:ascii="Arial" w:hAnsi="Arial" w:cs="Arial"/>
          <w:sz w:val="19"/>
          <w:szCs w:val="19"/>
        </w:rPr>
        <w:t>protection/ welfare</w:t>
      </w:r>
      <w:r w:rsidR="00BE0228" w:rsidRPr="000C7BBB">
        <w:rPr>
          <w:rFonts w:ascii="Arial" w:hAnsi="Arial" w:cs="Arial"/>
          <w:sz w:val="19"/>
          <w:szCs w:val="19"/>
        </w:rPr>
        <w:t xml:space="preserve"> system, </w:t>
      </w:r>
      <w:r w:rsidR="63481072" w:rsidRPr="000C7BBB">
        <w:rPr>
          <w:rFonts w:ascii="Arial" w:hAnsi="Arial" w:cs="Arial"/>
          <w:sz w:val="19"/>
          <w:szCs w:val="19"/>
        </w:rPr>
        <w:t>which is s</w:t>
      </w:r>
      <w:r w:rsidR="7A420B8F" w:rsidRPr="000C7BBB">
        <w:rPr>
          <w:rFonts w:ascii="Arial" w:hAnsi="Arial" w:cs="Arial"/>
          <w:sz w:val="19"/>
          <w:szCs w:val="19"/>
        </w:rPr>
        <w:t>ufficiently</w:t>
      </w:r>
      <w:r w:rsidR="00BE0228" w:rsidRPr="000C7BBB">
        <w:rPr>
          <w:rFonts w:ascii="Arial" w:hAnsi="Arial" w:cs="Arial"/>
          <w:sz w:val="19"/>
          <w:szCs w:val="19"/>
        </w:rPr>
        <w:t xml:space="preserve"> </w:t>
      </w:r>
      <w:r w:rsidR="70F866D7" w:rsidRPr="000C7BBB">
        <w:rPr>
          <w:rFonts w:ascii="Arial" w:hAnsi="Arial" w:cs="Arial"/>
          <w:sz w:val="19"/>
          <w:szCs w:val="19"/>
        </w:rPr>
        <w:t>low</w:t>
      </w:r>
      <w:r w:rsidR="00BE0228" w:rsidRPr="000C7BBB">
        <w:rPr>
          <w:rFonts w:ascii="Arial" w:hAnsi="Arial" w:cs="Arial"/>
          <w:sz w:val="19"/>
          <w:szCs w:val="19"/>
        </w:rPr>
        <w:t xml:space="preserve"> that only a very small part of the cheaper (and potentially sub-standard) </w:t>
      </w:r>
      <w:r w:rsidR="00973124" w:rsidRPr="000C7BBB">
        <w:rPr>
          <w:rFonts w:ascii="Arial" w:hAnsi="Arial" w:cs="Arial"/>
          <w:sz w:val="19"/>
          <w:szCs w:val="19"/>
        </w:rPr>
        <w:t>rental market is accessible.</w:t>
      </w:r>
      <w:r w:rsidR="0092460A" w:rsidRPr="000C7BBB">
        <w:rPr>
          <w:rFonts w:ascii="Arial" w:hAnsi="Arial" w:cs="Arial"/>
          <w:sz w:val="19"/>
          <w:szCs w:val="19"/>
        </w:rPr>
        <w:t xml:space="preserve"> </w:t>
      </w:r>
      <w:r w:rsidR="00CB5C68" w:rsidRPr="000C7BBB">
        <w:rPr>
          <w:rFonts w:ascii="Arial" w:hAnsi="Arial" w:cs="Arial"/>
          <w:sz w:val="19"/>
          <w:szCs w:val="19"/>
        </w:rPr>
        <w:t>When working with cross-border migrant group</w:t>
      </w:r>
      <w:r w:rsidR="002A48AE" w:rsidRPr="000C7BBB">
        <w:rPr>
          <w:rFonts w:ascii="Arial" w:hAnsi="Arial" w:cs="Arial"/>
          <w:sz w:val="19"/>
          <w:szCs w:val="19"/>
        </w:rPr>
        <w:t>s</w:t>
      </w:r>
      <w:r w:rsidR="00CB5C68" w:rsidRPr="000C7BBB">
        <w:rPr>
          <w:rFonts w:ascii="Arial" w:hAnsi="Arial" w:cs="Arial"/>
          <w:sz w:val="19"/>
          <w:szCs w:val="19"/>
        </w:rPr>
        <w:t xml:space="preserve"> it may be </w:t>
      </w:r>
      <w:r w:rsidR="0092460A" w:rsidRPr="000C7BBB">
        <w:rPr>
          <w:rFonts w:ascii="Arial" w:hAnsi="Arial" w:cs="Arial"/>
          <w:sz w:val="19"/>
          <w:szCs w:val="19"/>
        </w:rPr>
        <w:t>challenging to argue for</w:t>
      </w:r>
      <w:r w:rsidR="7DC83947" w:rsidRPr="000C7BBB">
        <w:rPr>
          <w:rFonts w:ascii="Arial" w:hAnsi="Arial" w:cs="Arial"/>
          <w:sz w:val="19"/>
          <w:szCs w:val="19"/>
        </w:rPr>
        <w:t xml:space="preserve"> a</w:t>
      </w:r>
      <w:r w:rsidR="0092460A" w:rsidRPr="000C7BBB">
        <w:rPr>
          <w:rFonts w:ascii="Arial" w:hAnsi="Arial" w:cs="Arial"/>
          <w:sz w:val="19"/>
          <w:szCs w:val="19"/>
        </w:rPr>
        <w:t xml:space="preserve"> transfer value above th</w:t>
      </w:r>
      <w:r w:rsidR="002A48AE" w:rsidRPr="000C7BBB">
        <w:rPr>
          <w:rFonts w:ascii="Arial" w:hAnsi="Arial" w:cs="Arial"/>
          <w:sz w:val="19"/>
          <w:szCs w:val="19"/>
        </w:rPr>
        <w:t>e amount the domestic host population would receive</w:t>
      </w:r>
      <w:r w:rsidR="00720C24" w:rsidRPr="000C7BBB">
        <w:rPr>
          <w:rFonts w:ascii="Arial" w:hAnsi="Arial" w:cs="Arial"/>
          <w:sz w:val="19"/>
          <w:szCs w:val="19"/>
        </w:rPr>
        <w:t>, even when it is necessary to allow recipients to rent habitable properties fit for their needs</w:t>
      </w:r>
      <w:r w:rsidR="74C49EDA" w:rsidRPr="000C7BBB">
        <w:rPr>
          <w:rFonts w:ascii="Arial" w:hAnsi="Arial" w:cs="Arial"/>
          <w:sz w:val="19"/>
          <w:szCs w:val="19"/>
        </w:rPr>
        <w:t>, a</w:t>
      </w:r>
      <w:r w:rsidR="0672FBFF" w:rsidRPr="000C7BBB">
        <w:rPr>
          <w:rFonts w:ascii="Arial" w:hAnsi="Arial" w:cs="Arial"/>
          <w:sz w:val="19"/>
          <w:szCs w:val="19"/>
        </w:rPr>
        <w:t>nd</w:t>
      </w:r>
      <w:r w:rsidR="74C49EDA" w:rsidRPr="000C7BBB">
        <w:rPr>
          <w:rFonts w:ascii="Arial" w:hAnsi="Arial" w:cs="Arial"/>
          <w:sz w:val="19"/>
          <w:szCs w:val="19"/>
        </w:rPr>
        <w:t xml:space="preserve"> it runs the </w:t>
      </w:r>
      <w:r w:rsidR="00205B7B" w:rsidRPr="000C7BBB">
        <w:rPr>
          <w:rFonts w:ascii="Arial" w:hAnsi="Arial" w:cs="Arial"/>
          <w:sz w:val="19"/>
          <w:szCs w:val="19"/>
        </w:rPr>
        <w:t xml:space="preserve">risk of </w:t>
      </w:r>
      <w:r w:rsidR="16EC7B6E" w:rsidRPr="000C7BBB">
        <w:rPr>
          <w:rFonts w:ascii="Arial" w:hAnsi="Arial" w:cs="Arial"/>
          <w:sz w:val="19"/>
          <w:szCs w:val="19"/>
        </w:rPr>
        <w:t xml:space="preserve">contributing to </w:t>
      </w:r>
      <w:r w:rsidR="00205B7B" w:rsidRPr="000C7BBB">
        <w:rPr>
          <w:rFonts w:ascii="Arial" w:hAnsi="Arial" w:cs="Arial"/>
          <w:sz w:val="19"/>
          <w:szCs w:val="19"/>
        </w:rPr>
        <w:t>social tension</w:t>
      </w:r>
      <w:r w:rsidR="5EC6A284" w:rsidRPr="000C7BBB">
        <w:rPr>
          <w:rFonts w:ascii="Arial" w:hAnsi="Arial" w:cs="Arial"/>
          <w:sz w:val="19"/>
          <w:szCs w:val="19"/>
        </w:rPr>
        <w:t>.</w:t>
      </w:r>
      <w:r w:rsidR="00DE609A" w:rsidRPr="000C7BBB">
        <w:rPr>
          <w:rFonts w:ascii="Arial" w:hAnsi="Arial" w:cs="Arial"/>
          <w:sz w:val="19"/>
          <w:szCs w:val="19"/>
        </w:rPr>
        <w:t xml:space="preserve"> </w:t>
      </w:r>
      <w:r w:rsidR="00720C24" w:rsidRPr="000C7BBB">
        <w:rPr>
          <w:rFonts w:ascii="Arial" w:hAnsi="Arial" w:cs="Arial"/>
          <w:sz w:val="19"/>
          <w:szCs w:val="19"/>
        </w:rPr>
        <w:t>As such</w:t>
      </w:r>
      <w:r w:rsidR="002A48AE" w:rsidRPr="000C7BBB">
        <w:rPr>
          <w:rFonts w:ascii="Arial" w:hAnsi="Arial" w:cs="Arial"/>
          <w:sz w:val="19"/>
          <w:szCs w:val="19"/>
        </w:rPr>
        <w:t>, the following arguments may be useful</w:t>
      </w:r>
      <w:r w:rsidR="00205B7B" w:rsidRPr="000C7BBB">
        <w:rPr>
          <w:rFonts w:ascii="Arial" w:hAnsi="Arial" w:cs="Arial"/>
          <w:sz w:val="19"/>
          <w:szCs w:val="19"/>
        </w:rPr>
        <w:t xml:space="preserve">, </w:t>
      </w:r>
      <w:r w:rsidR="65C56E97" w:rsidRPr="000C7BBB">
        <w:rPr>
          <w:rFonts w:ascii="Arial" w:hAnsi="Arial" w:cs="Arial"/>
          <w:sz w:val="19"/>
          <w:szCs w:val="19"/>
        </w:rPr>
        <w:t>which</w:t>
      </w:r>
      <w:r w:rsidR="00205B7B" w:rsidRPr="000C7BBB">
        <w:rPr>
          <w:rFonts w:ascii="Arial" w:hAnsi="Arial" w:cs="Arial"/>
          <w:sz w:val="19"/>
          <w:szCs w:val="19"/>
        </w:rPr>
        <w:t xml:space="preserve"> will need care</w:t>
      </w:r>
      <w:r w:rsidR="08DF869E" w:rsidRPr="000C7BBB">
        <w:rPr>
          <w:rFonts w:ascii="Arial" w:hAnsi="Arial" w:cs="Arial"/>
          <w:sz w:val="19"/>
          <w:szCs w:val="19"/>
        </w:rPr>
        <w:t>ful</w:t>
      </w:r>
      <w:r w:rsidR="00205B7B" w:rsidRPr="000C7BBB">
        <w:rPr>
          <w:rFonts w:ascii="Arial" w:hAnsi="Arial" w:cs="Arial"/>
          <w:sz w:val="19"/>
          <w:szCs w:val="19"/>
        </w:rPr>
        <w:t xml:space="preserve"> communication</w:t>
      </w:r>
      <w:r w:rsidR="00D91C97" w:rsidRPr="000C7BBB">
        <w:rPr>
          <w:rFonts w:ascii="Arial" w:hAnsi="Arial" w:cs="Arial"/>
          <w:sz w:val="19"/>
          <w:szCs w:val="19"/>
        </w:rPr>
        <w:t>:</w:t>
      </w:r>
    </w:p>
    <w:p w14:paraId="4934683C" w14:textId="7A80789B" w:rsidR="00D91C97" w:rsidRPr="000C7BBB" w:rsidRDefault="00D91C97" w:rsidP="00DB2ABE">
      <w:pPr>
        <w:pStyle w:val="ListParagraph"/>
        <w:numPr>
          <w:ilvl w:val="1"/>
          <w:numId w:val="33"/>
        </w:numPr>
        <w:jc w:val="both"/>
        <w:rPr>
          <w:rFonts w:ascii="Arial" w:hAnsi="Arial" w:cs="Arial"/>
          <w:sz w:val="19"/>
          <w:szCs w:val="19"/>
        </w:rPr>
      </w:pPr>
      <w:r w:rsidRPr="000C7BBB">
        <w:rPr>
          <w:rFonts w:ascii="Arial" w:hAnsi="Arial" w:cs="Arial"/>
          <w:sz w:val="19"/>
          <w:szCs w:val="19"/>
        </w:rPr>
        <w:lastRenderedPageBreak/>
        <w:t xml:space="preserve">Migrants are more vulnerable groups that </w:t>
      </w:r>
      <w:r w:rsidR="007A3271" w:rsidRPr="000C7BBB">
        <w:rPr>
          <w:rFonts w:ascii="Arial" w:hAnsi="Arial" w:cs="Arial"/>
          <w:sz w:val="19"/>
          <w:szCs w:val="19"/>
        </w:rPr>
        <w:t xml:space="preserve">do not have a social network and </w:t>
      </w:r>
      <w:r w:rsidRPr="000C7BBB">
        <w:rPr>
          <w:rFonts w:ascii="Arial" w:hAnsi="Arial" w:cs="Arial"/>
          <w:sz w:val="19"/>
          <w:szCs w:val="19"/>
        </w:rPr>
        <w:t xml:space="preserve">may not be allowed to work and supplement </w:t>
      </w:r>
      <w:r w:rsidR="00DE609A" w:rsidRPr="000C7BBB">
        <w:rPr>
          <w:rFonts w:ascii="Arial" w:hAnsi="Arial" w:cs="Arial"/>
          <w:sz w:val="19"/>
          <w:szCs w:val="19"/>
        </w:rPr>
        <w:t>the allowance</w:t>
      </w:r>
      <w:r w:rsidR="4B626795" w:rsidRPr="000C7BBB">
        <w:rPr>
          <w:rFonts w:ascii="Arial" w:hAnsi="Arial" w:cs="Arial"/>
          <w:sz w:val="19"/>
          <w:szCs w:val="19"/>
        </w:rPr>
        <w:t>. As such, the</w:t>
      </w:r>
      <w:r w:rsidR="00DE609A" w:rsidRPr="000C7BBB">
        <w:rPr>
          <w:rFonts w:ascii="Arial" w:hAnsi="Arial" w:cs="Arial"/>
          <w:sz w:val="19"/>
          <w:szCs w:val="19"/>
        </w:rPr>
        <w:t xml:space="preserve"> social welfare </w:t>
      </w:r>
      <w:r w:rsidR="003A1275" w:rsidRPr="000C7BBB">
        <w:rPr>
          <w:rFonts w:ascii="Arial" w:hAnsi="Arial" w:cs="Arial"/>
          <w:sz w:val="19"/>
          <w:szCs w:val="19"/>
        </w:rPr>
        <w:t>accommodation</w:t>
      </w:r>
      <w:r w:rsidR="00DE609A" w:rsidRPr="000C7BBB">
        <w:rPr>
          <w:rFonts w:ascii="Arial" w:hAnsi="Arial" w:cs="Arial"/>
          <w:sz w:val="19"/>
          <w:szCs w:val="19"/>
        </w:rPr>
        <w:t xml:space="preserve"> allowance </w:t>
      </w:r>
      <w:r w:rsidR="003A1275" w:rsidRPr="000C7BBB">
        <w:rPr>
          <w:rFonts w:ascii="Arial" w:hAnsi="Arial" w:cs="Arial"/>
          <w:sz w:val="19"/>
          <w:szCs w:val="19"/>
        </w:rPr>
        <w:t>transfer value</w:t>
      </w:r>
      <w:r w:rsidR="00DE609A" w:rsidRPr="000C7BBB">
        <w:rPr>
          <w:rFonts w:ascii="Arial" w:hAnsi="Arial" w:cs="Arial"/>
          <w:sz w:val="19"/>
          <w:szCs w:val="19"/>
        </w:rPr>
        <w:t xml:space="preserve"> was not designed with this group in mind.</w:t>
      </w:r>
    </w:p>
    <w:p w14:paraId="03432BF6" w14:textId="3AEA633E" w:rsidR="003A1275" w:rsidRPr="000C7BBB" w:rsidRDefault="003A1275" w:rsidP="00DB2ABE">
      <w:pPr>
        <w:pStyle w:val="ListParagraph"/>
        <w:numPr>
          <w:ilvl w:val="1"/>
          <w:numId w:val="33"/>
        </w:numPr>
        <w:jc w:val="both"/>
        <w:rPr>
          <w:rFonts w:ascii="Arial" w:hAnsi="Arial" w:cs="Arial"/>
          <w:sz w:val="19"/>
          <w:szCs w:val="19"/>
        </w:rPr>
      </w:pPr>
      <w:r w:rsidRPr="000C7BBB">
        <w:rPr>
          <w:rFonts w:ascii="Arial" w:hAnsi="Arial" w:cs="Arial"/>
          <w:sz w:val="19"/>
          <w:szCs w:val="19"/>
        </w:rPr>
        <w:t>The market has changed since the social welfare accommodation allowance value was set.</w:t>
      </w:r>
    </w:p>
    <w:p w14:paraId="316857B1" w14:textId="5DDCB3EA" w:rsidR="003A1275" w:rsidRPr="000C7BBB" w:rsidRDefault="007A3271" w:rsidP="00DB2ABE">
      <w:pPr>
        <w:pStyle w:val="ListParagraph"/>
        <w:numPr>
          <w:ilvl w:val="1"/>
          <w:numId w:val="33"/>
        </w:numPr>
        <w:jc w:val="both"/>
        <w:rPr>
          <w:rFonts w:ascii="Arial" w:hAnsi="Arial" w:cs="Arial"/>
          <w:sz w:val="19"/>
          <w:szCs w:val="19"/>
        </w:rPr>
      </w:pPr>
      <w:r w:rsidRPr="000C7BBB">
        <w:rPr>
          <w:rFonts w:ascii="Arial" w:hAnsi="Arial" w:cs="Arial"/>
          <w:sz w:val="19"/>
          <w:szCs w:val="19"/>
        </w:rPr>
        <w:t xml:space="preserve">The </w:t>
      </w:r>
      <w:r w:rsidR="3F357CEE" w:rsidRPr="000C7BBB">
        <w:rPr>
          <w:rFonts w:ascii="Arial" w:hAnsi="Arial" w:cs="Arial"/>
          <w:sz w:val="19"/>
          <w:szCs w:val="19"/>
        </w:rPr>
        <w:t xml:space="preserve">proposed rental </w:t>
      </w:r>
      <w:r w:rsidRPr="000C7BBB">
        <w:rPr>
          <w:rFonts w:ascii="Arial" w:hAnsi="Arial" w:cs="Arial"/>
          <w:sz w:val="19"/>
          <w:szCs w:val="19"/>
        </w:rPr>
        <w:t>programme is only temporary</w:t>
      </w:r>
    </w:p>
    <w:p w14:paraId="7DB9878D" w14:textId="08507536" w:rsidR="00DE609A" w:rsidRPr="000C7BBB" w:rsidRDefault="00205B7B" w:rsidP="00DB2ABE">
      <w:pPr>
        <w:pStyle w:val="ListParagraph"/>
        <w:numPr>
          <w:ilvl w:val="0"/>
          <w:numId w:val="33"/>
        </w:numPr>
        <w:jc w:val="both"/>
        <w:rPr>
          <w:rFonts w:ascii="Arial" w:hAnsi="Arial" w:cs="Arial"/>
          <w:sz w:val="19"/>
          <w:szCs w:val="19"/>
        </w:rPr>
      </w:pPr>
      <w:r w:rsidRPr="000C7BBB">
        <w:rPr>
          <w:rFonts w:ascii="Arial" w:hAnsi="Arial" w:cs="Arial"/>
          <w:sz w:val="19"/>
          <w:szCs w:val="19"/>
        </w:rPr>
        <w:t>The programme may hope to exit the targeted group into the social protection</w:t>
      </w:r>
      <w:r w:rsidR="00130D95" w:rsidRPr="000C7BBB">
        <w:rPr>
          <w:rFonts w:ascii="Arial" w:hAnsi="Arial" w:cs="Arial"/>
          <w:sz w:val="19"/>
          <w:szCs w:val="19"/>
        </w:rPr>
        <w:t xml:space="preserve"> system and receive the </w:t>
      </w:r>
      <w:r w:rsidR="5E122462" w:rsidRPr="000C7BBB">
        <w:rPr>
          <w:rFonts w:ascii="Arial" w:hAnsi="Arial" w:cs="Arial"/>
          <w:sz w:val="19"/>
          <w:szCs w:val="19"/>
        </w:rPr>
        <w:t xml:space="preserve">local </w:t>
      </w:r>
      <w:r w:rsidR="634B8DD2" w:rsidRPr="000C7BBB">
        <w:rPr>
          <w:rFonts w:ascii="Arial" w:hAnsi="Arial" w:cs="Arial"/>
          <w:sz w:val="19"/>
          <w:szCs w:val="19"/>
        </w:rPr>
        <w:t>housing</w:t>
      </w:r>
      <w:r w:rsidR="00130D95" w:rsidRPr="000C7BBB">
        <w:rPr>
          <w:rFonts w:ascii="Arial" w:hAnsi="Arial" w:cs="Arial"/>
          <w:sz w:val="19"/>
          <w:szCs w:val="19"/>
        </w:rPr>
        <w:t xml:space="preserve"> allowance. If this is the case and it is not possible to </w:t>
      </w:r>
      <w:r w:rsidR="00A306F3" w:rsidRPr="000C7BBB">
        <w:rPr>
          <w:rFonts w:ascii="Arial" w:hAnsi="Arial" w:cs="Arial"/>
          <w:sz w:val="19"/>
          <w:szCs w:val="19"/>
        </w:rPr>
        <w:t xml:space="preserve">advocate with the authorities </w:t>
      </w:r>
      <w:r w:rsidR="23630C98" w:rsidRPr="000C7BBB">
        <w:rPr>
          <w:rFonts w:ascii="Arial" w:hAnsi="Arial" w:cs="Arial"/>
          <w:sz w:val="19"/>
          <w:szCs w:val="19"/>
        </w:rPr>
        <w:t xml:space="preserve">to </w:t>
      </w:r>
      <w:r w:rsidR="00A306F3" w:rsidRPr="000C7BBB">
        <w:rPr>
          <w:rFonts w:ascii="Arial" w:hAnsi="Arial" w:cs="Arial"/>
          <w:sz w:val="19"/>
          <w:szCs w:val="19"/>
        </w:rPr>
        <w:t xml:space="preserve">adjust the </w:t>
      </w:r>
      <w:r w:rsidR="5294839B" w:rsidRPr="000C7BBB">
        <w:rPr>
          <w:rFonts w:ascii="Arial" w:hAnsi="Arial" w:cs="Arial"/>
          <w:sz w:val="19"/>
          <w:szCs w:val="19"/>
        </w:rPr>
        <w:t>housing</w:t>
      </w:r>
      <w:r w:rsidR="00A306F3" w:rsidRPr="000C7BBB">
        <w:rPr>
          <w:rFonts w:ascii="Arial" w:hAnsi="Arial" w:cs="Arial"/>
          <w:sz w:val="19"/>
          <w:szCs w:val="19"/>
        </w:rPr>
        <w:t xml:space="preserve"> allowance in the timeframe of the programme, then</w:t>
      </w:r>
      <w:r w:rsidR="00B7250A" w:rsidRPr="000C7BBB">
        <w:rPr>
          <w:rFonts w:ascii="Arial" w:hAnsi="Arial" w:cs="Arial"/>
          <w:sz w:val="19"/>
          <w:szCs w:val="19"/>
        </w:rPr>
        <w:t xml:space="preserve"> greater emphasis will need to </w:t>
      </w:r>
      <w:r w:rsidR="00DA5769" w:rsidRPr="000C7BBB">
        <w:rPr>
          <w:rFonts w:ascii="Arial" w:hAnsi="Arial" w:cs="Arial"/>
          <w:sz w:val="19"/>
          <w:szCs w:val="19"/>
        </w:rPr>
        <w:t>be placed on complimentary programm</w:t>
      </w:r>
      <w:r w:rsidR="05EFE6F0" w:rsidRPr="000C7BBB">
        <w:rPr>
          <w:rFonts w:ascii="Arial" w:hAnsi="Arial" w:cs="Arial"/>
          <w:sz w:val="19"/>
          <w:szCs w:val="19"/>
        </w:rPr>
        <w:t>ing</w:t>
      </w:r>
      <w:r w:rsidR="00DA5769" w:rsidRPr="000C7BBB">
        <w:rPr>
          <w:rFonts w:ascii="Arial" w:hAnsi="Arial" w:cs="Arial"/>
          <w:sz w:val="19"/>
          <w:szCs w:val="19"/>
        </w:rPr>
        <w:t xml:space="preserve"> related to developing income generation opportunities</w:t>
      </w:r>
      <w:r w:rsidR="00CA2888" w:rsidRPr="000C7BBB">
        <w:rPr>
          <w:rFonts w:ascii="Arial" w:hAnsi="Arial" w:cs="Arial"/>
          <w:sz w:val="19"/>
          <w:szCs w:val="19"/>
        </w:rPr>
        <w:t xml:space="preserve"> to help household top-up the allowance at the end of the RCRC programme.</w:t>
      </w:r>
    </w:p>
    <w:p w14:paraId="1D1FA835" w14:textId="4B724BFC" w:rsidR="00947462" w:rsidRPr="00CD353E" w:rsidRDefault="00947462" w:rsidP="00DB2ABE">
      <w:pPr>
        <w:pStyle w:val="Heading1"/>
        <w:jc w:val="both"/>
        <w:rPr>
          <w:rFonts w:ascii="Century Gothic" w:hAnsi="Century Gothic" w:cs="Arial"/>
          <w:b/>
          <w:bCs/>
          <w:color w:val="F5333F"/>
          <w:sz w:val="22"/>
          <w:szCs w:val="22"/>
        </w:rPr>
      </w:pPr>
      <w:bookmarkStart w:id="2" w:name="_Toc142739480"/>
      <w:r w:rsidRPr="00CD353E">
        <w:rPr>
          <w:rFonts w:ascii="Century Gothic" w:hAnsi="Century Gothic" w:cs="Arial"/>
          <w:b/>
          <w:bCs/>
          <w:color w:val="F5333F"/>
          <w:sz w:val="22"/>
          <w:szCs w:val="22"/>
        </w:rPr>
        <w:t>Duration of Assistance and Tapering</w:t>
      </w:r>
      <w:bookmarkEnd w:id="2"/>
    </w:p>
    <w:p w14:paraId="6F155A87" w14:textId="26859341" w:rsidR="00973AD0" w:rsidRPr="000C7BBB" w:rsidRDefault="000C7BBB" w:rsidP="00DB2ABE">
      <w:pPr>
        <w:jc w:val="both"/>
        <w:rPr>
          <w:rFonts w:ascii="Arial" w:hAnsi="Arial" w:cs="Arial"/>
          <w:sz w:val="19"/>
          <w:szCs w:val="19"/>
        </w:rPr>
      </w:pPr>
      <w:r>
        <w:rPr>
          <w:rFonts w:ascii="Arial" w:hAnsi="Arial" w:cs="Arial"/>
          <w:sz w:val="19"/>
          <w:szCs w:val="19"/>
        </w:rPr>
        <w:br/>
      </w:r>
      <w:r w:rsidR="00947462" w:rsidRPr="000C7BBB">
        <w:rPr>
          <w:rFonts w:ascii="Arial" w:hAnsi="Arial" w:cs="Arial"/>
          <w:sz w:val="19"/>
          <w:szCs w:val="19"/>
        </w:rPr>
        <w:t>You will have already set the duration of assistance considering the programme objectives. It may be appropriate to taper this in the final few months of assistance for those households who have the capacity to work or access other income (remittances, pension etc.) to promote self-reliance.</w:t>
      </w:r>
    </w:p>
    <w:p w14:paraId="0515AF17" w14:textId="1139A54B" w:rsidR="00947462" w:rsidRPr="000C7BBB" w:rsidRDefault="00947462" w:rsidP="00DB2ABE">
      <w:pPr>
        <w:jc w:val="both"/>
        <w:rPr>
          <w:rFonts w:ascii="Arial" w:hAnsi="Arial" w:cs="Arial"/>
          <w:sz w:val="19"/>
          <w:szCs w:val="19"/>
        </w:rPr>
      </w:pPr>
      <w:r w:rsidRPr="000C7BBB">
        <w:rPr>
          <w:rFonts w:ascii="Arial" w:hAnsi="Arial" w:cs="Arial"/>
          <w:sz w:val="19"/>
          <w:szCs w:val="19"/>
        </w:rPr>
        <w:t xml:space="preserve"> Typically for</w:t>
      </w:r>
      <w:r w:rsidR="00973AD0" w:rsidRPr="000C7BBB">
        <w:rPr>
          <w:rFonts w:ascii="Arial" w:hAnsi="Arial" w:cs="Arial"/>
          <w:sz w:val="19"/>
          <w:szCs w:val="19"/>
        </w:rPr>
        <w:t xml:space="preserve"> a</w:t>
      </w:r>
      <w:r w:rsidRPr="000C7BBB">
        <w:rPr>
          <w:rFonts w:ascii="Arial" w:hAnsi="Arial" w:cs="Arial"/>
          <w:sz w:val="19"/>
          <w:szCs w:val="19"/>
        </w:rPr>
        <w:t xml:space="preserve"> programme of 6 months</w:t>
      </w:r>
      <w:r w:rsidR="00973AD0" w:rsidRPr="000C7BBB">
        <w:rPr>
          <w:rFonts w:ascii="Arial" w:hAnsi="Arial" w:cs="Arial"/>
          <w:sz w:val="19"/>
          <w:szCs w:val="19"/>
        </w:rPr>
        <w:t xml:space="preserve">, for those who have the capacity to generate income the proportion of rental payments </w:t>
      </w:r>
      <w:r w:rsidRPr="000C7BBB">
        <w:rPr>
          <w:rFonts w:ascii="Arial" w:hAnsi="Arial" w:cs="Arial"/>
          <w:sz w:val="19"/>
          <w:szCs w:val="19"/>
        </w:rPr>
        <w:t>could look like: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88"/>
        <w:gridCol w:w="1288"/>
        <w:gridCol w:w="1288"/>
        <w:gridCol w:w="1288"/>
        <w:gridCol w:w="1288"/>
        <w:gridCol w:w="1288"/>
        <w:gridCol w:w="1288"/>
      </w:tblGrid>
      <w:tr w:rsidR="00947462" w:rsidRPr="000C7BBB" w14:paraId="380AFD92" w14:textId="77777777" w:rsidTr="00CD353E">
        <w:tc>
          <w:tcPr>
            <w:tcW w:w="1288" w:type="dxa"/>
            <w:tcBorders>
              <w:bottom w:val="single" w:sz="4" w:space="0" w:color="F5333F"/>
            </w:tcBorders>
            <w:shd w:val="clear" w:color="auto" w:fill="F5333F"/>
          </w:tcPr>
          <w:p w14:paraId="6BD7EF83" w14:textId="59CE986E"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Month</w:t>
            </w:r>
          </w:p>
        </w:tc>
        <w:tc>
          <w:tcPr>
            <w:tcW w:w="1288" w:type="dxa"/>
            <w:tcBorders>
              <w:bottom w:val="single" w:sz="4" w:space="0" w:color="F5333F"/>
            </w:tcBorders>
            <w:shd w:val="clear" w:color="auto" w:fill="F5333F"/>
          </w:tcPr>
          <w:p w14:paraId="560C613C" w14:textId="65BAAA1F"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1</w:t>
            </w:r>
          </w:p>
        </w:tc>
        <w:tc>
          <w:tcPr>
            <w:tcW w:w="1288" w:type="dxa"/>
            <w:tcBorders>
              <w:bottom w:val="single" w:sz="4" w:space="0" w:color="F5333F"/>
            </w:tcBorders>
            <w:shd w:val="clear" w:color="auto" w:fill="F5333F"/>
          </w:tcPr>
          <w:p w14:paraId="33FB2353" w14:textId="451D5242"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2</w:t>
            </w:r>
          </w:p>
        </w:tc>
        <w:tc>
          <w:tcPr>
            <w:tcW w:w="1288" w:type="dxa"/>
            <w:tcBorders>
              <w:bottom w:val="single" w:sz="4" w:space="0" w:color="F5333F"/>
            </w:tcBorders>
            <w:shd w:val="clear" w:color="auto" w:fill="F5333F"/>
          </w:tcPr>
          <w:p w14:paraId="4486E98A" w14:textId="10E99681"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3</w:t>
            </w:r>
          </w:p>
        </w:tc>
        <w:tc>
          <w:tcPr>
            <w:tcW w:w="1288" w:type="dxa"/>
            <w:tcBorders>
              <w:bottom w:val="single" w:sz="4" w:space="0" w:color="F5333F"/>
            </w:tcBorders>
            <w:shd w:val="clear" w:color="auto" w:fill="F5333F"/>
          </w:tcPr>
          <w:p w14:paraId="06BA2A6E" w14:textId="6C3F953F"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4</w:t>
            </w:r>
          </w:p>
        </w:tc>
        <w:tc>
          <w:tcPr>
            <w:tcW w:w="1288" w:type="dxa"/>
            <w:tcBorders>
              <w:bottom w:val="single" w:sz="4" w:space="0" w:color="F5333F"/>
            </w:tcBorders>
            <w:shd w:val="clear" w:color="auto" w:fill="F5333F"/>
          </w:tcPr>
          <w:p w14:paraId="2EFA6287" w14:textId="5E4D8F8A"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5</w:t>
            </w:r>
          </w:p>
        </w:tc>
        <w:tc>
          <w:tcPr>
            <w:tcW w:w="1288" w:type="dxa"/>
            <w:tcBorders>
              <w:bottom w:val="single" w:sz="4" w:space="0" w:color="F5333F"/>
            </w:tcBorders>
            <w:shd w:val="clear" w:color="auto" w:fill="F5333F"/>
          </w:tcPr>
          <w:p w14:paraId="56A2A118" w14:textId="6088927F" w:rsidR="00947462" w:rsidRPr="00CD353E" w:rsidRDefault="00947462" w:rsidP="00DB2ABE">
            <w:pPr>
              <w:jc w:val="both"/>
              <w:rPr>
                <w:rFonts w:ascii="Arial" w:hAnsi="Arial" w:cs="Arial"/>
                <w:b/>
                <w:bCs/>
                <w:color w:val="FFFFFF" w:themeColor="background1"/>
                <w:sz w:val="19"/>
                <w:szCs w:val="19"/>
              </w:rPr>
            </w:pPr>
            <w:r w:rsidRPr="00CD353E">
              <w:rPr>
                <w:rFonts w:ascii="Arial" w:hAnsi="Arial" w:cs="Arial"/>
                <w:b/>
                <w:bCs/>
                <w:color w:val="FFFFFF" w:themeColor="background1"/>
                <w:sz w:val="19"/>
                <w:szCs w:val="19"/>
              </w:rPr>
              <w:t>6</w:t>
            </w:r>
          </w:p>
        </w:tc>
      </w:tr>
      <w:tr w:rsidR="00947462" w:rsidRPr="000C7BBB" w14:paraId="533FC8EC" w14:textId="77777777" w:rsidTr="00CD353E">
        <w:tc>
          <w:tcPr>
            <w:tcW w:w="1288" w:type="dxa"/>
            <w:tcBorders>
              <w:top w:val="single" w:sz="4" w:space="0" w:color="F5333F"/>
              <w:left w:val="single" w:sz="4" w:space="0" w:color="F5333F"/>
              <w:bottom w:val="single" w:sz="4" w:space="0" w:color="F5333F"/>
              <w:right w:val="single" w:sz="4" w:space="0" w:color="F5333F"/>
            </w:tcBorders>
          </w:tcPr>
          <w:p w14:paraId="18AE9A71" w14:textId="475C7B9E" w:rsidR="00947462" w:rsidRPr="000C7BBB" w:rsidRDefault="00947462" w:rsidP="00DB2ABE">
            <w:pPr>
              <w:jc w:val="both"/>
              <w:rPr>
                <w:rFonts w:ascii="Arial" w:hAnsi="Arial" w:cs="Arial"/>
                <w:sz w:val="19"/>
                <w:szCs w:val="19"/>
              </w:rPr>
            </w:pPr>
            <w:r w:rsidRPr="000C7BBB">
              <w:rPr>
                <w:rFonts w:ascii="Arial" w:hAnsi="Arial" w:cs="Arial"/>
                <w:sz w:val="19"/>
                <w:szCs w:val="19"/>
              </w:rPr>
              <w:t>Proportion of Rental Payment</w:t>
            </w:r>
          </w:p>
        </w:tc>
        <w:tc>
          <w:tcPr>
            <w:tcW w:w="1288" w:type="dxa"/>
            <w:tcBorders>
              <w:top w:val="single" w:sz="4" w:space="0" w:color="F5333F"/>
              <w:left w:val="single" w:sz="4" w:space="0" w:color="F5333F"/>
              <w:bottom w:val="single" w:sz="4" w:space="0" w:color="F5333F"/>
              <w:right w:val="single" w:sz="4" w:space="0" w:color="F5333F"/>
            </w:tcBorders>
          </w:tcPr>
          <w:p w14:paraId="7D6790B4" w14:textId="5887865E" w:rsidR="00947462" w:rsidRPr="000C7BBB" w:rsidRDefault="00947462" w:rsidP="00DB2ABE">
            <w:pPr>
              <w:jc w:val="both"/>
              <w:rPr>
                <w:rFonts w:ascii="Arial" w:hAnsi="Arial" w:cs="Arial"/>
                <w:sz w:val="19"/>
                <w:szCs w:val="19"/>
              </w:rPr>
            </w:pPr>
            <w:r w:rsidRPr="000C7BBB">
              <w:rPr>
                <w:rFonts w:ascii="Arial" w:hAnsi="Arial" w:cs="Arial"/>
                <w:sz w:val="19"/>
                <w:szCs w:val="19"/>
              </w:rPr>
              <w:t>100%</w:t>
            </w:r>
          </w:p>
        </w:tc>
        <w:tc>
          <w:tcPr>
            <w:tcW w:w="1288" w:type="dxa"/>
            <w:tcBorders>
              <w:top w:val="single" w:sz="4" w:space="0" w:color="F5333F"/>
              <w:left w:val="single" w:sz="4" w:space="0" w:color="F5333F"/>
              <w:bottom w:val="single" w:sz="4" w:space="0" w:color="F5333F"/>
              <w:right w:val="single" w:sz="4" w:space="0" w:color="F5333F"/>
            </w:tcBorders>
          </w:tcPr>
          <w:p w14:paraId="09273750" w14:textId="694ADD3F" w:rsidR="00947462" w:rsidRPr="000C7BBB" w:rsidRDefault="00947462" w:rsidP="00DB2ABE">
            <w:pPr>
              <w:jc w:val="both"/>
              <w:rPr>
                <w:rFonts w:ascii="Arial" w:hAnsi="Arial" w:cs="Arial"/>
                <w:sz w:val="19"/>
                <w:szCs w:val="19"/>
              </w:rPr>
            </w:pPr>
            <w:r w:rsidRPr="000C7BBB">
              <w:rPr>
                <w:rFonts w:ascii="Arial" w:hAnsi="Arial" w:cs="Arial"/>
                <w:sz w:val="19"/>
                <w:szCs w:val="19"/>
              </w:rPr>
              <w:t>100%</w:t>
            </w:r>
          </w:p>
        </w:tc>
        <w:tc>
          <w:tcPr>
            <w:tcW w:w="1288" w:type="dxa"/>
            <w:tcBorders>
              <w:top w:val="single" w:sz="4" w:space="0" w:color="F5333F"/>
              <w:left w:val="single" w:sz="4" w:space="0" w:color="F5333F"/>
              <w:bottom w:val="single" w:sz="4" w:space="0" w:color="F5333F"/>
              <w:right w:val="single" w:sz="4" w:space="0" w:color="F5333F"/>
            </w:tcBorders>
          </w:tcPr>
          <w:p w14:paraId="4081BD85" w14:textId="403F2451" w:rsidR="00947462" w:rsidRPr="000C7BBB" w:rsidRDefault="00947462" w:rsidP="00DB2ABE">
            <w:pPr>
              <w:jc w:val="both"/>
              <w:rPr>
                <w:rFonts w:ascii="Arial" w:hAnsi="Arial" w:cs="Arial"/>
                <w:sz w:val="19"/>
                <w:szCs w:val="19"/>
              </w:rPr>
            </w:pPr>
            <w:r w:rsidRPr="000C7BBB">
              <w:rPr>
                <w:rFonts w:ascii="Arial" w:hAnsi="Arial" w:cs="Arial"/>
                <w:sz w:val="19"/>
                <w:szCs w:val="19"/>
              </w:rPr>
              <w:t>100%</w:t>
            </w:r>
          </w:p>
        </w:tc>
        <w:tc>
          <w:tcPr>
            <w:tcW w:w="1288" w:type="dxa"/>
            <w:tcBorders>
              <w:top w:val="single" w:sz="4" w:space="0" w:color="F5333F"/>
              <w:left w:val="single" w:sz="4" w:space="0" w:color="F5333F"/>
              <w:bottom w:val="single" w:sz="4" w:space="0" w:color="F5333F"/>
              <w:right w:val="single" w:sz="4" w:space="0" w:color="F5333F"/>
            </w:tcBorders>
          </w:tcPr>
          <w:p w14:paraId="4C507FC4" w14:textId="6A03D63D" w:rsidR="00947462" w:rsidRPr="000C7BBB" w:rsidRDefault="00947462" w:rsidP="00DB2ABE">
            <w:pPr>
              <w:jc w:val="both"/>
              <w:rPr>
                <w:rFonts w:ascii="Arial" w:hAnsi="Arial" w:cs="Arial"/>
                <w:sz w:val="19"/>
                <w:szCs w:val="19"/>
              </w:rPr>
            </w:pPr>
            <w:r w:rsidRPr="000C7BBB">
              <w:rPr>
                <w:rFonts w:ascii="Arial" w:hAnsi="Arial" w:cs="Arial"/>
                <w:sz w:val="19"/>
                <w:szCs w:val="19"/>
              </w:rPr>
              <w:t>9</w:t>
            </w:r>
            <w:r w:rsidR="00286F31" w:rsidRPr="000C7BBB">
              <w:rPr>
                <w:rFonts w:ascii="Arial" w:hAnsi="Arial" w:cs="Arial"/>
                <w:sz w:val="19"/>
                <w:szCs w:val="19"/>
              </w:rPr>
              <w:t>0</w:t>
            </w:r>
            <w:r w:rsidRPr="000C7BBB">
              <w:rPr>
                <w:rFonts w:ascii="Arial" w:hAnsi="Arial" w:cs="Arial"/>
                <w:sz w:val="19"/>
                <w:szCs w:val="19"/>
              </w:rPr>
              <w:t>%</w:t>
            </w:r>
          </w:p>
        </w:tc>
        <w:tc>
          <w:tcPr>
            <w:tcW w:w="1288" w:type="dxa"/>
            <w:tcBorders>
              <w:top w:val="single" w:sz="4" w:space="0" w:color="F5333F"/>
              <w:left w:val="single" w:sz="4" w:space="0" w:color="F5333F"/>
              <w:bottom w:val="single" w:sz="4" w:space="0" w:color="F5333F"/>
              <w:right w:val="single" w:sz="4" w:space="0" w:color="F5333F"/>
            </w:tcBorders>
          </w:tcPr>
          <w:p w14:paraId="474263FC" w14:textId="67924FD3" w:rsidR="00947462" w:rsidRPr="000C7BBB" w:rsidRDefault="00947462" w:rsidP="00DB2ABE">
            <w:pPr>
              <w:jc w:val="both"/>
              <w:rPr>
                <w:rFonts w:ascii="Arial" w:hAnsi="Arial" w:cs="Arial"/>
                <w:sz w:val="19"/>
                <w:szCs w:val="19"/>
              </w:rPr>
            </w:pPr>
            <w:r w:rsidRPr="000C7BBB">
              <w:rPr>
                <w:rFonts w:ascii="Arial" w:hAnsi="Arial" w:cs="Arial"/>
                <w:sz w:val="19"/>
                <w:szCs w:val="19"/>
              </w:rPr>
              <w:t>80%</w:t>
            </w:r>
          </w:p>
        </w:tc>
        <w:tc>
          <w:tcPr>
            <w:tcW w:w="1288" w:type="dxa"/>
            <w:tcBorders>
              <w:top w:val="single" w:sz="4" w:space="0" w:color="F5333F"/>
              <w:left w:val="single" w:sz="4" w:space="0" w:color="F5333F"/>
              <w:bottom w:val="single" w:sz="4" w:space="0" w:color="F5333F"/>
              <w:right w:val="single" w:sz="4" w:space="0" w:color="F5333F"/>
            </w:tcBorders>
          </w:tcPr>
          <w:p w14:paraId="590295F5" w14:textId="507BEF79" w:rsidR="00947462" w:rsidRPr="000C7BBB" w:rsidRDefault="00947462" w:rsidP="00DB2ABE">
            <w:pPr>
              <w:jc w:val="both"/>
              <w:rPr>
                <w:rFonts w:ascii="Arial" w:hAnsi="Arial" w:cs="Arial"/>
                <w:sz w:val="19"/>
                <w:szCs w:val="19"/>
              </w:rPr>
            </w:pPr>
            <w:r w:rsidRPr="000C7BBB">
              <w:rPr>
                <w:rFonts w:ascii="Arial" w:hAnsi="Arial" w:cs="Arial"/>
                <w:sz w:val="19"/>
                <w:szCs w:val="19"/>
              </w:rPr>
              <w:t>70%</w:t>
            </w:r>
          </w:p>
        </w:tc>
      </w:tr>
    </w:tbl>
    <w:p w14:paraId="30AE4F3F" w14:textId="77777777" w:rsidR="00947462" w:rsidRPr="000C7BBB" w:rsidRDefault="00947462" w:rsidP="00DB2ABE">
      <w:pPr>
        <w:jc w:val="both"/>
        <w:rPr>
          <w:rFonts w:ascii="Arial" w:hAnsi="Arial" w:cs="Arial"/>
          <w:sz w:val="19"/>
          <w:szCs w:val="19"/>
        </w:rPr>
      </w:pPr>
    </w:p>
    <w:p w14:paraId="1E4AB3AB" w14:textId="47409E6D" w:rsidR="008675A2" w:rsidRPr="000C7BBB" w:rsidRDefault="00286F31" w:rsidP="00DB2ABE">
      <w:pPr>
        <w:jc w:val="both"/>
        <w:rPr>
          <w:rFonts w:ascii="Arial" w:hAnsi="Arial" w:cs="Arial"/>
          <w:sz w:val="19"/>
          <w:szCs w:val="19"/>
        </w:rPr>
      </w:pPr>
      <w:r w:rsidRPr="000C7BBB">
        <w:rPr>
          <w:rFonts w:ascii="Arial" w:hAnsi="Arial" w:cs="Arial"/>
          <w:sz w:val="19"/>
          <w:szCs w:val="19"/>
        </w:rPr>
        <w:t xml:space="preserve">It should be noted that it can take time to develop livelihoods, and some households may not be </w:t>
      </w:r>
      <w:proofErr w:type="gramStart"/>
      <w:r w:rsidRPr="000C7BBB">
        <w:rPr>
          <w:rFonts w:ascii="Arial" w:hAnsi="Arial" w:cs="Arial"/>
          <w:sz w:val="19"/>
          <w:szCs w:val="19"/>
        </w:rPr>
        <w:t>in a position</w:t>
      </w:r>
      <w:proofErr w:type="gramEnd"/>
      <w:r w:rsidRPr="000C7BBB">
        <w:rPr>
          <w:rFonts w:ascii="Arial" w:hAnsi="Arial" w:cs="Arial"/>
          <w:sz w:val="19"/>
          <w:szCs w:val="19"/>
        </w:rPr>
        <w:t xml:space="preserve"> to do this. Nevertheless</w:t>
      </w:r>
      <w:r w:rsidR="0004272E">
        <w:rPr>
          <w:rFonts w:ascii="Arial" w:hAnsi="Arial" w:cs="Arial"/>
          <w:sz w:val="19"/>
          <w:szCs w:val="19"/>
        </w:rPr>
        <w:t>,</w:t>
      </w:r>
      <w:r w:rsidRPr="000C7BBB">
        <w:rPr>
          <w:rFonts w:ascii="Arial" w:hAnsi="Arial" w:cs="Arial"/>
          <w:sz w:val="19"/>
          <w:szCs w:val="19"/>
        </w:rPr>
        <w:t xml:space="preserve"> tapering does avoid a cliff-edge of rental payment support.</w:t>
      </w:r>
    </w:p>
    <w:p w14:paraId="05C1655D" w14:textId="0CBC1530" w:rsidR="00286F31" w:rsidRPr="00CD353E" w:rsidRDefault="00286F31" w:rsidP="00D83231">
      <w:pPr>
        <w:pStyle w:val="Heading1"/>
        <w:rPr>
          <w:rFonts w:ascii="Century Gothic" w:hAnsi="Century Gothic" w:cs="Arial"/>
          <w:b/>
          <w:bCs/>
          <w:sz w:val="22"/>
          <w:szCs w:val="22"/>
        </w:rPr>
      </w:pPr>
      <w:bookmarkStart w:id="3" w:name="_Toc142739481"/>
      <w:r w:rsidRPr="00CD353E">
        <w:rPr>
          <w:rFonts w:ascii="Century Gothic" w:hAnsi="Century Gothic" w:cs="Arial"/>
          <w:b/>
          <w:bCs/>
          <w:color w:val="F5333F"/>
          <w:sz w:val="22"/>
          <w:szCs w:val="22"/>
        </w:rPr>
        <w:t>Considering associated payments (deposits, etc.)</w:t>
      </w:r>
      <w:bookmarkEnd w:id="3"/>
      <w:r w:rsidR="000C7BBB" w:rsidRPr="00CD353E">
        <w:rPr>
          <w:rFonts w:ascii="Century Gothic" w:hAnsi="Century Gothic" w:cs="Arial"/>
          <w:b/>
          <w:bCs/>
          <w:sz w:val="22"/>
          <w:szCs w:val="22"/>
        </w:rPr>
        <w:br/>
      </w:r>
    </w:p>
    <w:p w14:paraId="6C2615B3" w14:textId="4644FECE" w:rsidR="00286F31" w:rsidRPr="000C7BBB" w:rsidRDefault="00286F31" w:rsidP="00DB2ABE">
      <w:pPr>
        <w:jc w:val="both"/>
        <w:rPr>
          <w:rFonts w:ascii="Arial" w:hAnsi="Arial" w:cs="Arial"/>
          <w:sz w:val="19"/>
          <w:szCs w:val="19"/>
        </w:rPr>
      </w:pPr>
      <w:r w:rsidRPr="000C7BBB">
        <w:rPr>
          <w:rFonts w:ascii="Arial" w:hAnsi="Arial" w:cs="Arial"/>
          <w:sz w:val="19"/>
          <w:szCs w:val="19"/>
        </w:rPr>
        <w:t>From the Context Analysis undertaken in Step 1 it should be clear what costs households may experience in accessing and using rental housing this may include the following.</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2547"/>
        <w:gridCol w:w="6469"/>
      </w:tblGrid>
      <w:tr w:rsidR="00286F31" w:rsidRPr="000C7BBB" w14:paraId="204AEA2F" w14:textId="77777777" w:rsidTr="00D83231">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5D20F35" w14:textId="3475FB7F" w:rsidR="00286F31" w:rsidRPr="00CD353E" w:rsidRDefault="00286F31" w:rsidP="00D83231">
            <w:pPr>
              <w:rPr>
                <w:rFonts w:ascii="Arial" w:hAnsi="Arial" w:cs="Arial"/>
                <w:b/>
                <w:bCs/>
                <w:color w:val="FFFFFF" w:themeColor="background1"/>
                <w:sz w:val="19"/>
                <w:szCs w:val="19"/>
              </w:rPr>
            </w:pPr>
            <w:r w:rsidRPr="00CD353E">
              <w:rPr>
                <w:rFonts w:ascii="Arial" w:hAnsi="Arial" w:cs="Arial"/>
                <w:b/>
                <w:bCs/>
                <w:color w:val="FFFFFF" w:themeColor="background1"/>
                <w:sz w:val="19"/>
                <w:szCs w:val="19"/>
              </w:rPr>
              <w:t>Associated Payment to Access and Use Rental Housing</w:t>
            </w:r>
          </w:p>
        </w:tc>
        <w:tc>
          <w:tcPr>
            <w:tcW w:w="6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269E41B1" w14:textId="016A1990" w:rsidR="00286F31" w:rsidRPr="00CD353E" w:rsidRDefault="00286F31" w:rsidP="00D83231">
            <w:pPr>
              <w:rPr>
                <w:rFonts w:ascii="Arial" w:hAnsi="Arial" w:cs="Arial"/>
                <w:b/>
                <w:bCs/>
                <w:color w:val="FFFFFF" w:themeColor="background1"/>
                <w:sz w:val="19"/>
                <w:szCs w:val="19"/>
              </w:rPr>
            </w:pPr>
            <w:r w:rsidRPr="00CD353E">
              <w:rPr>
                <w:rFonts w:ascii="Arial" w:hAnsi="Arial" w:cs="Arial"/>
                <w:b/>
                <w:bCs/>
                <w:color w:val="FFFFFF" w:themeColor="background1"/>
                <w:sz w:val="19"/>
                <w:szCs w:val="19"/>
              </w:rPr>
              <w:t>Recommendations</w:t>
            </w:r>
          </w:p>
        </w:tc>
      </w:tr>
      <w:tr w:rsidR="00286F31" w:rsidRPr="000C7BBB" w14:paraId="1FA90A01" w14:textId="77777777" w:rsidTr="00CD353E">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7506E077" w14:textId="156624C6" w:rsidR="00286F31" w:rsidRPr="00CD353E" w:rsidRDefault="00286F31" w:rsidP="00DB2ABE">
            <w:pPr>
              <w:jc w:val="both"/>
              <w:rPr>
                <w:rFonts w:ascii="Arial" w:hAnsi="Arial" w:cs="Arial"/>
                <w:color w:val="FFFFFF" w:themeColor="background1"/>
                <w:sz w:val="19"/>
                <w:szCs w:val="19"/>
              </w:rPr>
            </w:pPr>
            <w:r w:rsidRPr="00CD353E">
              <w:rPr>
                <w:rFonts w:ascii="Arial" w:hAnsi="Arial" w:cs="Arial"/>
                <w:color w:val="FFFFFF" w:themeColor="background1"/>
                <w:sz w:val="19"/>
                <w:szCs w:val="19"/>
              </w:rPr>
              <w:t>Deposit</w:t>
            </w:r>
          </w:p>
        </w:tc>
        <w:tc>
          <w:tcPr>
            <w:tcW w:w="6469" w:type="dxa"/>
            <w:tcBorders>
              <w:top w:val="single" w:sz="4" w:space="0" w:color="FFFFFF" w:themeColor="background1"/>
              <w:left w:val="single" w:sz="4" w:space="0" w:color="FFFFFF" w:themeColor="background1"/>
            </w:tcBorders>
          </w:tcPr>
          <w:p w14:paraId="6A658415" w14:textId="5E869C73" w:rsidR="00286F31" w:rsidRPr="000C7BBB" w:rsidRDefault="00286F31" w:rsidP="00DB2ABE">
            <w:pPr>
              <w:jc w:val="both"/>
              <w:rPr>
                <w:rFonts w:ascii="Arial" w:hAnsi="Arial" w:cs="Arial"/>
                <w:sz w:val="19"/>
                <w:szCs w:val="19"/>
              </w:rPr>
            </w:pPr>
            <w:r w:rsidRPr="000C7BBB">
              <w:rPr>
                <w:rFonts w:ascii="Arial" w:hAnsi="Arial" w:cs="Arial"/>
                <w:sz w:val="19"/>
                <w:szCs w:val="19"/>
              </w:rPr>
              <w:t>Where</w:t>
            </w:r>
            <w:r w:rsidR="00E719E9" w:rsidRPr="000C7BBB">
              <w:rPr>
                <w:rFonts w:ascii="Arial" w:hAnsi="Arial" w:cs="Arial"/>
                <w:sz w:val="19"/>
                <w:szCs w:val="19"/>
              </w:rPr>
              <w:t xml:space="preserve"> the assessment </w:t>
            </w:r>
            <w:r w:rsidRPr="000C7BBB">
              <w:rPr>
                <w:rFonts w:ascii="Arial" w:hAnsi="Arial" w:cs="Arial"/>
                <w:sz w:val="19"/>
                <w:szCs w:val="19"/>
              </w:rPr>
              <w:t>identifie</w:t>
            </w:r>
            <w:r w:rsidR="00E719E9" w:rsidRPr="000C7BBB">
              <w:rPr>
                <w:rFonts w:ascii="Arial" w:hAnsi="Arial" w:cs="Arial"/>
                <w:sz w:val="19"/>
                <w:szCs w:val="19"/>
              </w:rPr>
              <w:t>s that this is</w:t>
            </w:r>
            <w:r w:rsidRPr="000C7BBB">
              <w:rPr>
                <w:rFonts w:ascii="Arial" w:hAnsi="Arial" w:cs="Arial"/>
                <w:sz w:val="19"/>
                <w:szCs w:val="19"/>
              </w:rPr>
              <w:t xml:space="preserve"> a barrier for accessing </w:t>
            </w:r>
            <w:r w:rsidR="00E719E9" w:rsidRPr="000C7BBB">
              <w:rPr>
                <w:rFonts w:ascii="Arial" w:hAnsi="Arial" w:cs="Arial"/>
                <w:sz w:val="19"/>
                <w:szCs w:val="19"/>
              </w:rPr>
              <w:t xml:space="preserve">rental accommodation it is recommended to give 100% of the </w:t>
            </w:r>
            <w:r w:rsidR="0004272E">
              <w:rPr>
                <w:rFonts w:ascii="Arial" w:hAnsi="Arial" w:cs="Arial"/>
                <w:sz w:val="19"/>
                <w:szCs w:val="19"/>
              </w:rPr>
              <w:t>d</w:t>
            </w:r>
            <w:r w:rsidR="00E719E9" w:rsidRPr="000C7BBB">
              <w:rPr>
                <w:rFonts w:ascii="Arial" w:hAnsi="Arial" w:cs="Arial"/>
                <w:sz w:val="19"/>
                <w:szCs w:val="19"/>
              </w:rPr>
              <w:t xml:space="preserve">eposit in the first </w:t>
            </w:r>
            <w:r w:rsidR="0004272E" w:rsidRPr="000C7BBB">
              <w:rPr>
                <w:rFonts w:ascii="Arial" w:hAnsi="Arial" w:cs="Arial"/>
                <w:sz w:val="19"/>
                <w:szCs w:val="19"/>
              </w:rPr>
              <w:t>month’s</w:t>
            </w:r>
            <w:r w:rsidR="00E719E9" w:rsidRPr="000C7BBB">
              <w:rPr>
                <w:rFonts w:ascii="Arial" w:hAnsi="Arial" w:cs="Arial"/>
                <w:sz w:val="19"/>
                <w:szCs w:val="19"/>
              </w:rPr>
              <w:t xml:space="preserve"> payment with the monthly rental payment.</w:t>
            </w:r>
          </w:p>
          <w:p w14:paraId="4DADF22E" w14:textId="77777777" w:rsidR="00E719E9" w:rsidRPr="000C7BBB" w:rsidRDefault="00E719E9" w:rsidP="00DB2ABE">
            <w:pPr>
              <w:jc w:val="both"/>
              <w:rPr>
                <w:rFonts w:ascii="Arial" w:hAnsi="Arial" w:cs="Arial"/>
                <w:sz w:val="19"/>
                <w:szCs w:val="19"/>
              </w:rPr>
            </w:pPr>
          </w:p>
          <w:p w14:paraId="599354E7" w14:textId="2F16B149" w:rsidR="00E719E9" w:rsidRPr="000C7BBB" w:rsidRDefault="00E719E9" w:rsidP="00DB2ABE">
            <w:pPr>
              <w:jc w:val="both"/>
              <w:rPr>
                <w:rFonts w:ascii="Arial" w:hAnsi="Arial" w:cs="Arial"/>
                <w:sz w:val="19"/>
                <w:szCs w:val="19"/>
              </w:rPr>
            </w:pPr>
            <w:r w:rsidRPr="000C7BBB">
              <w:rPr>
                <w:rFonts w:ascii="Arial" w:hAnsi="Arial" w:cs="Arial"/>
                <w:sz w:val="19"/>
                <w:szCs w:val="19"/>
              </w:rPr>
              <w:t xml:space="preserve">Alternatively, it may be possible when the RC is paying the property owner directly </w:t>
            </w:r>
            <w:r w:rsidR="00121044" w:rsidRPr="000C7BBB">
              <w:rPr>
                <w:rFonts w:ascii="Arial" w:hAnsi="Arial" w:cs="Arial"/>
                <w:sz w:val="19"/>
                <w:szCs w:val="19"/>
              </w:rPr>
              <w:t xml:space="preserve">for the RC </w:t>
            </w:r>
            <w:r w:rsidRPr="000C7BBB">
              <w:rPr>
                <w:rFonts w:ascii="Arial" w:hAnsi="Arial" w:cs="Arial"/>
                <w:sz w:val="19"/>
                <w:szCs w:val="19"/>
              </w:rPr>
              <w:t xml:space="preserve">to take out some form of insurance to cover damage that could replace </w:t>
            </w:r>
            <w:r w:rsidR="00121044" w:rsidRPr="000C7BBB">
              <w:rPr>
                <w:rFonts w:ascii="Arial" w:hAnsi="Arial" w:cs="Arial"/>
                <w:sz w:val="19"/>
                <w:szCs w:val="19"/>
              </w:rPr>
              <w:t>the need for a</w:t>
            </w:r>
            <w:r w:rsidRPr="000C7BBB">
              <w:rPr>
                <w:rFonts w:ascii="Arial" w:hAnsi="Arial" w:cs="Arial"/>
                <w:sz w:val="19"/>
                <w:szCs w:val="19"/>
              </w:rPr>
              <w:t xml:space="preserve"> deposit.</w:t>
            </w:r>
          </w:p>
          <w:p w14:paraId="4FA0122B" w14:textId="77777777" w:rsidR="00E719E9" w:rsidRPr="000C7BBB" w:rsidRDefault="00E719E9" w:rsidP="00DB2ABE">
            <w:pPr>
              <w:jc w:val="both"/>
              <w:rPr>
                <w:rFonts w:ascii="Arial" w:hAnsi="Arial" w:cs="Arial"/>
                <w:sz w:val="19"/>
                <w:szCs w:val="19"/>
              </w:rPr>
            </w:pPr>
          </w:p>
          <w:p w14:paraId="23DE3BCE" w14:textId="557E35F1" w:rsidR="00E719E9" w:rsidRPr="000C7BBB" w:rsidRDefault="00CE257F" w:rsidP="00DB2ABE">
            <w:pPr>
              <w:jc w:val="both"/>
              <w:rPr>
                <w:rFonts w:ascii="Arial" w:hAnsi="Arial" w:cs="Arial"/>
                <w:sz w:val="19"/>
                <w:szCs w:val="19"/>
              </w:rPr>
            </w:pPr>
            <w:r w:rsidRPr="000C7BBB">
              <w:rPr>
                <w:rFonts w:ascii="Arial" w:hAnsi="Arial" w:cs="Arial"/>
                <w:sz w:val="19"/>
                <w:szCs w:val="19"/>
              </w:rPr>
              <w:t>Generally,</w:t>
            </w:r>
            <w:r w:rsidR="00121044" w:rsidRPr="000C7BBB">
              <w:rPr>
                <w:rFonts w:ascii="Arial" w:hAnsi="Arial" w:cs="Arial"/>
                <w:sz w:val="19"/>
                <w:szCs w:val="19"/>
              </w:rPr>
              <w:t xml:space="preserve"> the deposit should be returned to the tenant (and not the RC) to assist them with the next rental deposit or returning/moving on.</w:t>
            </w:r>
          </w:p>
        </w:tc>
      </w:tr>
      <w:tr w:rsidR="00286F31" w:rsidRPr="000C7BBB" w14:paraId="510519AF" w14:textId="77777777" w:rsidTr="00CD353E">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32F19CBC" w14:textId="5CBC89A3" w:rsidR="00286F31" w:rsidRPr="00CD353E" w:rsidRDefault="00E719E9" w:rsidP="00DB2ABE">
            <w:pPr>
              <w:jc w:val="both"/>
              <w:rPr>
                <w:rFonts w:ascii="Arial" w:hAnsi="Arial" w:cs="Arial"/>
                <w:color w:val="FFFFFF" w:themeColor="background1"/>
                <w:sz w:val="19"/>
                <w:szCs w:val="19"/>
              </w:rPr>
            </w:pPr>
            <w:r w:rsidRPr="00CD353E">
              <w:rPr>
                <w:rFonts w:ascii="Arial" w:hAnsi="Arial" w:cs="Arial"/>
                <w:color w:val="FFFFFF" w:themeColor="background1"/>
                <w:sz w:val="19"/>
                <w:szCs w:val="19"/>
              </w:rPr>
              <w:t>Move-in grants</w:t>
            </w:r>
          </w:p>
        </w:tc>
        <w:tc>
          <w:tcPr>
            <w:tcW w:w="6469" w:type="dxa"/>
            <w:tcBorders>
              <w:left w:val="single" w:sz="4" w:space="0" w:color="FFFFFF" w:themeColor="background1"/>
            </w:tcBorders>
            <w:shd w:val="clear" w:color="auto" w:fill="FEF5F4"/>
          </w:tcPr>
          <w:p w14:paraId="1655C299" w14:textId="594071DC" w:rsidR="00121044" w:rsidRPr="000C7BBB" w:rsidRDefault="00E719E9" w:rsidP="00DB2ABE">
            <w:pPr>
              <w:jc w:val="both"/>
              <w:rPr>
                <w:rFonts w:ascii="Arial" w:hAnsi="Arial" w:cs="Arial"/>
                <w:sz w:val="19"/>
                <w:szCs w:val="19"/>
              </w:rPr>
            </w:pPr>
            <w:r w:rsidRPr="000C7BBB">
              <w:rPr>
                <w:rFonts w:ascii="Arial" w:hAnsi="Arial" w:cs="Arial"/>
                <w:sz w:val="19"/>
                <w:szCs w:val="19"/>
              </w:rPr>
              <w:t xml:space="preserve">Households often have costs associated with moving out of more temporary accommodation and into rental housing </w:t>
            </w:r>
            <w:r w:rsidR="002128E5" w:rsidRPr="000C7BBB">
              <w:rPr>
                <w:rFonts w:ascii="Arial" w:hAnsi="Arial" w:cs="Arial"/>
                <w:sz w:val="19"/>
                <w:szCs w:val="19"/>
              </w:rPr>
              <w:t>this can include costs associated with buying appropriate households items</w:t>
            </w:r>
            <w:r w:rsidR="00121044" w:rsidRPr="000C7BBB">
              <w:rPr>
                <w:rFonts w:ascii="Arial" w:hAnsi="Arial" w:cs="Arial"/>
                <w:sz w:val="19"/>
                <w:szCs w:val="19"/>
              </w:rPr>
              <w:t xml:space="preserve"> to ensure the housing is adequate for the households needs. It may also include costs associated with physically traveling with their </w:t>
            </w:r>
            <w:r w:rsidR="00CE257F" w:rsidRPr="000C7BBB">
              <w:rPr>
                <w:rFonts w:ascii="Arial" w:hAnsi="Arial" w:cs="Arial"/>
                <w:sz w:val="19"/>
                <w:szCs w:val="19"/>
              </w:rPr>
              <w:t>household’s</w:t>
            </w:r>
            <w:r w:rsidR="00121044" w:rsidRPr="000C7BBB">
              <w:rPr>
                <w:rFonts w:ascii="Arial" w:hAnsi="Arial" w:cs="Arial"/>
                <w:sz w:val="19"/>
                <w:szCs w:val="19"/>
              </w:rPr>
              <w:t xml:space="preserve"> luggage.</w:t>
            </w:r>
          </w:p>
          <w:p w14:paraId="598CB393" w14:textId="77777777" w:rsidR="00121044" w:rsidRPr="000C7BBB" w:rsidRDefault="00121044" w:rsidP="00DB2ABE">
            <w:pPr>
              <w:jc w:val="both"/>
              <w:rPr>
                <w:rFonts w:ascii="Arial" w:hAnsi="Arial" w:cs="Arial"/>
                <w:sz w:val="19"/>
                <w:szCs w:val="19"/>
              </w:rPr>
            </w:pPr>
          </w:p>
          <w:p w14:paraId="7A16A000" w14:textId="3CE65B81" w:rsidR="00121044" w:rsidRPr="000C7BBB" w:rsidRDefault="00121044" w:rsidP="00DB2ABE">
            <w:pPr>
              <w:jc w:val="both"/>
              <w:rPr>
                <w:rFonts w:ascii="Arial" w:hAnsi="Arial" w:cs="Arial"/>
                <w:sz w:val="19"/>
                <w:szCs w:val="19"/>
              </w:rPr>
            </w:pPr>
            <w:r w:rsidRPr="000C7BBB">
              <w:rPr>
                <w:rFonts w:ascii="Arial" w:hAnsi="Arial" w:cs="Arial"/>
                <w:sz w:val="19"/>
                <w:szCs w:val="19"/>
              </w:rPr>
              <w:t>Sometimes household items can be given in-kind. Some RC or civil society or NGO partners run thrift shops which can be asked to support in-kind with relevant household items.</w:t>
            </w:r>
          </w:p>
        </w:tc>
      </w:tr>
      <w:tr w:rsidR="00286F31" w:rsidRPr="000C7BBB" w14:paraId="485C3AFA" w14:textId="77777777" w:rsidTr="00CD353E">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4BB727D0" w14:textId="654E9FE4" w:rsidR="00286F31" w:rsidRPr="00CD353E" w:rsidRDefault="00E719E9" w:rsidP="00DB2ABE">
            <w:pPr>
              <w:jc w:val="both"/>
              <w:rPr>
                <w:rFonts w:ascii="Arial" w:hAnsi="Arial" w:cs="Arial"/>
                <w:color w:val="FFFFFF" w:themeColor="background1"/>
                <w:sz w:val="19"/>
                <w:szCs w:val="19"/>
              </w:rPr>
            </w:pPr>
            <w:r w:rsidRPr="00CD353E">
              <w:rPr>
                <w:rFonts w:ascii="Arial" w:hAnsi="Arial" w:cs="Arial"/>
                <w:color w:val="FFFFFF" w:themeColor="background1"/>
                <w:sz w:val="19"/>
                <w:szCs w:val="19"/>
              </w:rPr>
              <w:t>Utilities</w:t>
            </w:r>
            <w:r w:rsidR="00121044" w:rsidRPr="00CD353E">
              <w:rPr>
                <w:rFonts w:ascii="Arial" w:hAnsi="Arial" w:cs="Arial"/>
                <w:color w:val="FFFFFF" w:themeColor="background1"/>
                <w:sz w:val="19"/>
                <w:szCs w:val="19"/>
              </w:rPr>
              <w:t xml:space="preserve"> &amp; property taxes</w:t>
            </w:r>
          </w:p>
        </w:tc>
        <w:tc>
          <w:tcPr>
            <w:tcW w:w="6469" w:type="dxa"/>
            <w:tcBorders>
              <w:left w:val="single" w:sz="4" w:space="0" w:color="FFFFFF" w:themeColor="background1"/>
            </w:tcBorders>
          </w:tcPr>
          <w:p w14:paraId="5FF6C413" w14:textId="77777777" w:rsidR="00121044" w:rsidRPr="000C7BBB" w:rsidRDefault="00121044" w:rsidP="00DB2ABE">
            <w:pPr>
              <w:jc w:val="both"/>
              <w:rPr>
                <w:rFonts w:ascii="Arial" w:hAnsi="Arial" w:cs="Arial"/>
                <w:sz w:val="19"/>
                <w:szCs w:val="19"/>
              </w:rPr>
            </w:pPr>
            <w:r w:rsidRPr="000C7BBB">
              <w:rPr>
                <w:rFonts w:ascii="Arial" w:hAnsi="Arial" w:cs="Arial"/>
                <w:sz w:val="19"/>
                <w:szCs w:val="19"/>
              </w:rPr>
              <w:t xml:space="preserve">The rental agreement should clearly stipulate who is responsible for paying utilities and property taxes. This should be determined by the norms of rental practices in the country. </w:t>
            </w:r>
          </w:p>
          <w:p w14:paraId="093567C2" w14:textId="77777777" w:rsidR="00121044" w:rsidRPr="000C7BBB" w:rsidRDefault="00121044" w:rsidP="00DB2ABE">
            <w:pPr>
              <w:jc w:val="both"/>
              <w:rPr>
                <w:rFonts w:ascii="Arial" w:hAnsi="Arial" w:cs="Arial"/>
                <w:sz w:val="19"/>
                <w:szCs w:val="19"/>
              </w:rPr>
            </w:pPr>
          </w:p>
          <w:p w14:paraId="4C7F3D37" w14:textId="303F1E9C" w:rsidR="00121044" w:rsidRPr="000C7BBB" w:rsidRDefault="00121044" w:rsidP="00DB2ABE">
            <w:pPr>
              <w:jc w:val="both"/>
              <w:rPr>
                <w:rFonts w:ascii="Arial" w:hAnsi="Arial" w:cs="Arial"/>
                <w:sz w:val="19"/>
                <w:szCs w:val="19"/>
              </w:rPr>
            </w:pPr>
            <w:r w:rsidRPr="000C7BBB">
              <w:rPr>
                <w:rFonts w:ascii="Arial" w:hAnsi="Arial" w:cs="Arial"/>
                <w:sz w:val="19"/>
                <w:szCs w:val="19"/>
              </w:rPr>
              <w:lastRenderedPageBreak/>
              <w:t xml:space="preserve">Where it is the </w:t>
            </w:r>
            <w:r w:rsidR="00CE257F" w:rsidRPr="000C7BBB">
              <w:rPr>
                <w:rFonts w:ascii="Arial" w:hAnsi="Arial" w:cs="Arial"/>
                <w:sz w:val="19"/>
                <w:szCs w:val="19"/>
              </w:rPr>
              <w:t>tenant’s</w:t>
            </w:r>
            <w:r w:rsidRPr="000C7BBB">
              <w:rPr>
                <w:rFonts w:ascii="Arial" w:hAnsi="Arial" w:cs="Arial"/>
                <w:sz w:val="19"/>
                <w:szCs w:val="19"/>
              </w:rPr>
              <w:t xml:space="preserve"> responsibility it may be necessary to support these costs otherwise the tenant may struggle to stay in the accommodation with adequate thermal comfort for example. It may be appropriate to undertake orientation on how to save energy and water to reduce costs.</w:t>
            </w:r>
          </w:p>
        </w:tc>
      </w:tr>
      <w:tr w:rsidR="00286F31" w:rsidRPr="000C7BBB" w14:paraId="364770B5" w14:textId="77777777" w:rsidTr="00CD353E">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vAlign w:val="center"/>
          </w:tcPr>
          <w:p w14:paraId="7FF8195C" w14:textId="731D8962" w:rsidR="00286F31" w:rsidRPr="000C7BBB" w:rsidRDefault="00E719E9" w:rsidP="00DB2ABE">
            <w:pPr>
              <w:jc w:val="both"/>
              <w:rPr>
                <w:rFonts w:ascii="Arial" w:hAnsi="Arial" w:cs="Arial"/>
                <w:sz w:val="19"/>
                <w:szCs w:val="19"/>
              </w:rPr>
            </w:pPr>
            <w:r w:rsidRPr="00CD353E">
              <w:rPr>
                <w:rFonts w:ascii="Arial" w:hAnsi="Arial" w:cs="Arial"/>
                <w:color w:val="FFFFFF" w:themeColor="background1"/>
                <w:sz w:val="19"/>
                <w:szCs w:val="19"/>
              </w:rPr>
              <w:lastRenderedPageBreak/>
              <w:t>Disability</w:t>
            </w:r>
            <w:r w:rsidR="00121044" w:rsidRPr="00CD353E">
              <w:rPr>
                <w:rFonts w:ascii="Arial" w:hAnsi="Arial" w:cs="Arial"/>
                <w:color w:val="FFFFFF" w:themeColor="background1"/>
                <w:sz w:val="19"/>
                <w:szCs w:val="19"/>
              </w:rPr>
              <w:t xml:space="preserve"> and age</w:t>
            </w:r>
            <w:r w:rsidRPr="00CD353E">
              <w:rPr>
                <w:rFonts w:ascii="Arial" w:hAnsi="Arial" w:cs="Arial"/>
                <w:color w:val="FFFFFF" w:themeColor="background1"/>
                <w:sz w:val="19"/>
                <w:szCs w:val="19"/>
              </w:rPr>
              <w:t xml:space="preserve"> adaption</w:t>
            </w:r>
            <w:r w:rsidR="00CF07CA" w:rsidRPr="00CD353E">
              <w:rPr>
                <w:rFonts w:ascii="Arial" w:hAnsi="Arial" w:cs="Arial"/>
                <w:color w:val="FFFFFF" w:themeColor="background1"/>
                <w:sz w:val="19"/>
                <w:szCs w:val="19"/>
              </w:rPr>
              <w:t xml:space="preserve"> grant</w:t>
            </w:r>
          </w:p>
        </w:tc>
        <w:tc>
          <w:tcPr>
            <w:tcW w:w="6469" w:type="dxa"/>
            <w:tcBorders>
              <w:left w:val="single" w:sz="4" w:space="0" w:color="FFFFFF" w:themeColor="background1"/>
            </w:tcBorders>
            <w:shd w:val="clear" w:color="auto" w:fill="FEF5F4"/>
          </w:tcPr>
          <w:p w14:paraId="53B2E884" w14:textId="35E48625" w:rsidR="00286F31" w:rsidRPr="000C7BBB" w:rsidRDefault="00121044" w:rsidP="00DB2ABE">
            <w:pPr>
              <w:jc w:val="both"/>
              <w:rPr>
                <w:rFonts w:ascii="Arial" w:hAnsi="Arial" w:cs="Arial"/>
                <w:sz w:val="19"/>
                <w:szCs w:val="19"/>
              </w:rPr>
            </w:pPr>
            <w:r w:rsidRPr="000C7BBB">
              <w:rPr>
                <w:rFonts w:ascii="Arial" w:hAnsi="Arial" w:cs="Arial"/>
                <w:sz w:val="19"/>
                <w:szCs w:val="19"/>
              </w:rPr>
              <w:t>Globally in most crisis up to 15% of those affected have some form of impairment. Some allowance for adaption to support a proportion of households should be budgeted for. If the programme specifically targets</w:t>
            </w:r>
            <w:r w:rsidR="006634EB" w:rsidRPr="000C7BBB">
              <w:rPr>
                <w:rFonts w:ascii="Arial" w:hAnsi="Arial" w:cs="Arial"/>
                <w:sz w:val="19"/>
                <w:szCs w:val="19"/>
              </w:rPr>
              <w:t xml:space="preserve"> (through a score card)</w:t>
            </w:r>
            <w:r w:rsidRPr="000C7BBB">
              <w:rPr>
                <w:rFonts w:ascii="Arial" w:hAnsi="Arial" w:cs="Arial"/>
                <w:sz w:val="19"/>
                <w:szCs w:val="19"/>
              </w:rPr>
              <w:t xml:space="preserve"> those with a disability or the over 70s for </w:t>
            </w:r>
            <w:r w:rsidR="00CE257F" w:rsidRPr="000C7BBB">
              <w:rPr>
                <w:rFonts w:ascii="Arial" w:hAnsi="Arial" w:cs="Arial"/>
                <w:sz w:val="19"/>
                <w:szCs w:val="19"/>
              </w:rPr>
              <w:t>example,</w:t>
            </w:r>
            <w:r w:rsidRPr="000C7BBB">
              <w:rPr>
                <w:rFonts w:ascii="Arial" w:hAnsi="Arial" w:cs="Arial"/>
                <w:sz w:val="19"/>
                <w:szCs w:val="19"/>
              </w:rPr>
              <w:t xml:space="preserve"> then the proportion you reserve for adaption should be increased from</w:t>
            </w:r>
            <w:r w:rsidR="006634EB" w:rsidRPr="000C7BBB">
              <w:rPr>
                <w:rFonts w:ascii="Arial" w:hAnsi="Arial" w:cs="Arial"/>
                <w:sz w:val="19"/>
                <w:szCs w:val="19"/>
              </w:rPr>
              <w:t xml:space="preserve"> the standard</w:t>
            </w:r>
            <w:r w:rsidRPr="000C7BBB">
              <w:rPr>
                <w:rFonts w:ascii="Arial" w:hAnsi="Arial" w:cs="Arial"/>
                <w:sz w:val="19"/>
                <w:szCs w:val="19"/>
              </w:rPr>
              <w:t xml:space="preserve"> 15%.</w:t>
            </w:r>
          </w:p>
          <w:p w14:paraId="367D3673" w14:textId="77777777" w:rsidR="00121044" w:rsidRPr="000C7BBB" w:rsidRDefault="00121044" w:rsidP="00DB2ABE">
            <w:pPr>
              <w:jc w:val="both"/>
              <w:rPr>
                <w:rFonts w:ascii="Arial" w:hAnsi="Arial" w:cs="Arial"/>
                <w:sz w:val="19"/>
                <w:szCs w:val="19"/>
              </w:rPr>
            </w:pPr>
          </w:p>
          <w:p w14:paraId="7359DF60" w14:textId="40068EF1" w:rsidR="00121044" w:rsidRPr="000C7BBB" w:rsidRDefault="00CF07CA" w:rsidP="00DB2ABE">
            <w:pPr>
              <w:jc w:val="both"/>
              <w:rPr>
                <w:rFonts w:ascii="Arial" w:hAnsi="Arial" w:cs="Arial"/>
                <w:sz w:val="19"/>
                <w:szCs w:val="19"/>
              </w:rPr>
            </w:pPr>
            <w:r w:rsidRPr="000C7BBB">
              <w:rPr>
                <w:rFonts w:ascii="Arial" w:hAnsi="Arial" w:cs="Arial"/>
                <w:sz w:val="19"/>
                <w:szCs w:val="19"/>
              </w:rPr>
              <w:t xml:space="preserve">How the housing is adapted should be assessed on an individual basis for those who have impairments or </w:t>
            </w:r>
            <w:r w:rsidR="00A625DD" w:rsidRPr="000C7BBB">
              <w:rPr>
                <w:rFonts w:ascii="Arial" w:hAnsi="Arial" w:cs="Arial"/>
                <w:sz w:val="19"/>
                <w:szCs w:val="19"/>
              </w:rPr>
              <w:t>age-related</w:t>
            </w:r>
            <w:r w:rsidRPr="000C7BBB">
              <w:rPr>
                <w:rFonts w:ascii="Arial" w:hAnsi="Arial" w:cs="Arial"/>
                <w:sz w:val="19"/>
                <w:szCs w:val="19"/>
              </w:rPr>
              <w:t xml:space="preserve"> requirements. For example, where the target household requires specific household </w:t>
            </w:r>
            <w:proofErr w:type="gramStart"/>
            <w:r w:rsidR="00A625DD" w:rsidRPr="000C7BBB">
              <w:rPr>
                <w:rFonts w:ascii="Arial" w:hAnsi="Arial" w:cs="Arial"/>
                <w:sz w:val="19"/>
                <w:szCs w:val="19"/>
              </w:rPr>
              <w:t>items</w:t>
            </w:r>
            <w:proofErr w:type="gramEnd"/>
            <w:r w:rsidR="00A625DD">
              <w:rPr>
                <w:rFonts w:ascii="Arial" w:hAnsi="Arial" w:cs="Arial"/>
                <w:sz w:val="19"/>
                <w:szCs w:val="19"/>
              </w:rPr>
              <w:t xml:space="preserve"> </w:t>
            </w:r>
            <w:r w:rsidRPr="000C7BBB">
              <w:rPr>
                <w:rFonts w:ascii="Arial" w:hAnsi="Arial" w:cs="Arial"/>
                <w:sz w:val="19"/>
                <w:szCs w:val="19"/>
              </w:rPr>
              <w:t>they can purchase themselves (e.g. a commode, or a toilet surround safety frame) it will be appropriate to give this grant to the household. Where</w:t>
            </w:r>
            <w:r w:rsidR="006634EB" w:rsidRPr="000C7BBB">
              <w:rPr>
                <w:rFonts w:ascii="Arial" w:hAnsi="Arial" w:cs="Arial"/>
                <w:sz w:val="19"/>
                <w:szCs w:val="19"/>
              </w:rPr>
              <w:t xml:space="preserve"> the property itself requires some form of adaption, such as fitting of handles in the shower which need to be screwed into the wall, this may need to be negotiated and paid for via. the property owner. </w:t>
            </w:r>
          </w:p>
          <w:p w14:paraId="4D1F2AAB" w14:textId="77777777" w:rsidR="006634EB" w:rsidRPr="000C7BBB" w:rsidRDefault="006634EB" w:rsidP="00DB2ABE">
            <w:pPr>
              <w:jc w:val="both"/>
              <w:rPr>
                <w:rFonts w:ascii="Arial" w:hAnsi="Arial" w:cs="Arial"/>
                <w:sz w:val="19"/>
                <w:szCs w:val="19"/>
              </w:rPr>
            </w:pPr>
          </w:p>
          <w:p w14:paraId="6BF1CCB7" w14:textId="040A9602" w:rsidR="006634EB" w:rsidRPr="000C7BBB" w:rsidRDefault="006634EB" w:rsidP="00DB2ABE">
            <w:pPr>
              <w:jc w:val="both"/>
              <w:rPr>
                <w:rFonts w:ascii="Arial" w:hAnsi="Arial" w:cs="Arial"/>
                <w:sz w:val="19"/>
                <w:szCs w:val="19"/>
              </w:rPr>
            </w:pPr>
            <w:r w:rsidRPr="000C7BBB">
              <w:rPr>
                <w:rFonts w:ascii="Arial" w:hAnsi="Arial" w:cs="Arial"/>
                <w:sz w:val="19"/>
                <w:szCs w:val="19"/>
              </w:rPr>
              <w:t>The programme should have dedicated social worker capacity to be able to consider the unique shelter needs of households who have a family member with an impairment.</w:t>
            </w:r>
          </w:p>
        </w:tc>
      </w:tr>
    </w:tbl>
    <w:p w14:paraId="149429D3" w14:textId="77777777" w:rsidR="00286F31" w:rsidRPr="000C7BBB" w:rsidRDefault="00286F31" w:rsidP="00DB2ABE">
      <w:pPr>
        <w:jc w:val="both"/>
        <w:rPr>
          <w:rFonts w:ascii="Arial" w:hAnsi="Arial" w:cs="Arial"/>
          <w:sz w:val="19"/>
          <w:szCs w:val="19"/>
        </w:rPr>
      </w:pPr>
    </w:p>
    <w:p w14:paraId="7ED51839" w14:textId="7CCBEAFA" w:rsidR="006634EB" w:rsidRPr="00DB2ABE" w:rsidRDefault="006634EB" w:rsidP="00D83231">
      <w:pPr>
        <w:pStyle w:val="Heading1"/>
        <w:rPr>
          <w:rFonts w:ascii="Century Gothic" w:hAnsi="Century Gothic" w:cs="Arial"/>
          <w:b/>
          <w:bCs/>
          <w:sz w:val="22"/>
          <w:szCs w:val="22"/>
        </w:rPr>
      </w:pPr>
      <w:bookmarkStart w:id="4" w:name="_Toc142739482"/>
      <w:r w:rsidRPr="00DB2ABE">
        <w:rPr>
          <w:rFonts w:ascii="Century Gothic" w:hAnsi="Century Gothic" w:cs="Arial"/>
          <w:b/>
          <w:bCs/>
          <w:color w:val="F5333F"/>
          <w:sz w:val="22"/>
          <w:szCs w:val="22"/>
        </w:rPr>
        <w:t>Rental Payment Transfer Mechanism</w:t>
      </w:r>
      <w:bookmarkEnd w:id="4"/>
      <w:r w:rsidR="00DB2ABE" w:rsidRPr="00DB2ABE">
        <w:rPr>
          <w:rFonts w:ascii="Century Gothic" w:hAnsi="Century Gothic" w:cs="Arial"/>
          <w:b/>
          <w:bCs/>
          <w:sz w:val="22"/>
          <w:szCs w:val="22"/>
        </w:rPr>
        <w:br/>
      </w:r>
    </w:p>
    <w:p w14:paraId="70006A9F" w14:textId="354E52DA" w:rsidR="006634EB" w:rsidRPr="000C7BBB" w:rsidRDefault="006634EB" w:rsidP="00DB2ABE">
      <w:pPr>
        <w:jc w:val="both"/>
        <w:rPr>
          <w:rFonts w:ascii="Arial" w:hAnsi="Arial" w:cs="Arial"/>
          <w:sz w:val="19"/>
          <w:szCs w:val="19"/>
        </w:rPr>
      </w:pPr>
      <w:r w:rsidRPr="000C7BBB">
        <w:rPr>
          <w:rFonts w:ascii="Arial" w:hAnsi="Arial" w:cs="Arial"/>
          <w:sz w:val="19"/>
          <w:szCs w:val="19"/>
        </w:rPr>
        <w:t xml:space="preserve">From Step 1 sub-step 5 the CVA Feasibility Assessment it will have been </w:t>
      </w:r>
      <w:r w:rsidR="002D0CBF" w:rsidRPr="000C7BBB">
        <w:rPr>
          <w:rFonts w:ascii="Arial" w:hAnsi="Arial" w:cs="Arial"/>
          <w:sz w:val="19"/>
          <w:szCs w:val="19"/>
        </w:rPr>
        <w:t>undertaken. It is likely that this will have indicated what transfer mechanisms the RC has experience of using</w:t>
      </w:r>
      <w:r w:rsidR="00B250CA" w:rsidRPr="000C7BBB">
        <w:rPr>
          <w:rFonts w:ascii="Arial" w:hAnsi="Arial" w:cs="Arial"/>
          <w:sz w:val="19"/>
          <w:szCs w:val="19"/>
        </w:rPr>
        <w:t xml:space="preserve"> and has financial service agreements in place</w:t>
      </w:r>
      <w:r w:rsidR="002D0CBF" w:rsidRPr="000C7BBB">
        <w:rPr>
          <w:rFonts w:ascii="Arial" w:hAnsi="Arial" w:cs="Arial"/>
          <w:sz w:val="19"/>
          <w:szCs w:val="19"/>
        </w:rPr>
        <w:t xml:space="preserve">. Where the NS has limited experience of Cash and Voucher Assistance (CVA), then CVA colleagues </w:t>
      </w:r>
      <w:r w:rsidR="00B250CA" w:rsidRPr="000C7BBB">
        <w:rPr>
          <w:rFonts w:ascii="Arial" w:hAnsi="Arial" w:cs="Arial"/>
          <w:sz w:val="19"/>
          <w:szCs w:val="19"/>
        </w:rPr>
        <w:t>may be</w:t>
      </w:r>
      <w:r w:rsidR="002D0CBF" w:rsidRPr="000C7BBB">
        <w:rPr>
          <w:rFonts w:ascii="Arial" w:hAnsi="Arial" w:cs="Arial"/>
          <w:sz w:val="19"/>
          <w:szCs w:val="19"/>
        </w:rPr>
        <w:t xml:space="preserve"> assisting to setup new transfer mechanisms</w:t>
      </w:r>
      <w:r w:rsidR="00B250CA" w:rsidRPr="000C7BBB">
        <w:rPr>
          <w:rFonts w:ascii="Arial" w:hAnsi="Arial" w:cs="Arial"/>
          <w:sz w:val="19"/>
          <w:szCs w:val="19"/>
        </w:rPr>
        <w:t xml:space="preserve"> as part of a </w:t>
      </w:r>
      <w:proofErr w:type="gramStart"/>
      <w:r w:rsidR="00B250CA" w:rsidRPr="000C7BBB">
        <w:rPr>
          <w:rFonts w:ascii="Arial" w:hAnsi="Arial" w:cs="Arial"/>
          <w:sz w:val="19"/>
          <w:szCs w:val="19"/>
        </w:rPr>
        <w:t>Multi-purpose</w:t>
      </w:r>
      <w:proofErr w:type="gramEnd"/>
      <w:r w:rsidR="00B250CA" w:rsidRPr="000C7BBB">
        <w:rPr>
          <w:rFonts w:ascii="Arial" w:hAnsi="Arial" w:cs="Arial"/>
          <w:sz w:val="19"/>
          <w:szCs w:val="19"/>
        </w:rPr>
        <w:t xml:space="preserve"> cash assistance programme</w:t>
      </w:r>
      <w:r w:rsidR="002D0CBF" w:rsidRPr="000C7BBB">
        <w:rPr>
          <w:rFonts w:ascii="Arial" w:hAnsi="Arial" w:cs="Arial"/>
          <w:sz w:val="19"/>
          <w:szCs w:val="19"/>
        </w:rPr>
        <w:t>. Note that contracting a new financial service provider to make the transfers typically takes 3 to 4 months.</w:t>
      </w:r>
    </w:p>
    <w:p w14:paraId="22067C29" w14:textId="3A2D13BD" w:rsidR="00B250CA" w:rsidRPr="000C7BBB" w:rsidRDefault="00B250CA" w:rsidP="00DB2ABE">
      <w:pPr>
        <w:jc w:val="both"/>
        <w:rPr>
          <w:rFonts w:ascii="Arial" w:hAnsi="Arial" w:cs="Arial"/>
          <w:sz w:val="19"/>
          <w:szCs w:val="19"/>
        </w:rPr>
      </w:pPr>
      <w:r w:rsidRPr="000C7BBB">
        <w:rPr>
          <w:rFonts w:ascii="Arial" w:hAnsi="Arial" w:cs="Arial"/>
          <w:sz w:val="19"/>
          <w:szCs w:val="19"/>
        </w:rPr>
        <w:t>It is recommended that:</w:t>
      </w:r>
    </w:p>
    <w:p w14:paraId="7E4D7438" w14:textId="46AC4C24" w:rsidR="00B250CA" w:rsidRPr="000C7BBB" w:rsidRDefault="00B250CA" w:rsidP="00DB2ABE">
      <w:pPr>
        <w:pStyle w:val="ListParagraph"/>
        <w:numPr>
          <w:ilvl w:val="0"/>
          <w:numId w:val="28"/>
        </w:numPr>
        <w:jc w:val="both"/>
        <w:rPr>
          <w:rFonts w:ascii="Arial" w:hAnsi="Arial" w:cs="Arial"/>
          <w:sz w:val="19"/>
          <w:szCs w:val="19"/>
        </w:rPr>
      </w:pPr>
      <w:r w:rsidRPr="000C7BBB">
        <w:rPr>
          <w:rFonts w:ascii="Arial" w:hAnsi="Arial" w:cs="Arial"/>
          <w:sz w:val="19"/>
          <w:szCs w:val="19"/>
        </w:rPr>
        <w:t xml:space="preserve">The existing </w:t>
      </w:r>
      <w:r w:rsidR="00AE1C05" w:rsidRPr="000C7BBB">
        <w:rPr>
          <w:rFonts w:ascii="Arial" w:hAnsi="Arial" w:cs="Arial"/>
          <w:sz w:val="19"/>
          <w:szCs w:val="19"/>
        </w:rPr>
        <w:t>financial service provider (</w:t>
      </w:r>
      <w:r w:rsidRPr="000C7BBB">
        <w:rPr>
          <w:rFonts w:ascii="Arial" w:hAnsi="Arial" w:cs="Arial"/>
          <w:sz w:val="19"/>
          <w:szCs w:val="19"/>
        </w:rPr>
        <w:t>FSP</w:t>
      </w:r>
      <w:r w:rsidR="00AE1C05" w:rsidRPr="000C7BBB">
        <w:rPr>
          <w:rFonts w:ascii="Arial" w:hAnsi="Arial" w:cs="Arial"/>
          <w:sz w:val="19"/>
          <w:szCs w:val="19"/>
        </w:rPr>
        <w:t>)</w:t>
      </w:r>
      <w:r w:rsidRPr="000C7BBB">
        <w:rPr>
          <w:rFonts w:ascii="Arial" w:hAnsi="Arial" w:cs="Arial"/>
          <w:sz w:val="19"/>
          <w:szCs w:val="19"/>
        </w:rPr>
        <w:t xml:space="preserve"> arrangements are checked to establish that they are adequate for making rental payment transfers. E.g. Can they be used for frequent monthly payments and what sort of FSP costs will this result in? </w:t>
      </w:r>
      <w:r w:rsidR="46897000" w:rsidRPr="000C7BBB">
        <w:rPr>
          <w:rFonts w:ascii="Arial" w:hAnsi="Arial" w:cs="Arial"/>
          <w:sz w:val="19"/>
          <w:szCs w:val="19"/>
        </w:rPr>
        <w:t>Can the FSP make payments to both customers and individuals? Are there any value thresholds to the payments that they can transfer (given that shelter payments can be quite high each month compared to MPC pr</w:t>
      </w:r>
      <w:r w:rsidR="345E1118" w:rsidRPr="000C7BBB">
        <w:rPr>
          <w:rFonts w:ascii="Arial" w:hAnsi="Arial" w:cs="Arial"/>
          <w:sz w:val="19"/>
          <w:szCs w:val="19"/>
        </w:rPr>
        <w:t>ograms)?</w:t>
      </w:r>
    </w:p>
    <w:p w14:paraId="38C852FF" w14:textId="5A1E3E86" w:rsidR="00B250CA" w:rsidRPr="000C7BBB" w:rsidRDefault="00B250CA" w:rsidP="00DB2ABE">
      <w:pPr>
        <w:pStyle w:val="ListParagraph"/>
        <w:numPr>
          <w:ilvl w:val="0"/>
          <w:numId w:val="28"/>
        </w:numPr>
        <w:jc w:val="both"/>
        <w:rPr>
          <w:rFonts w:ascii="Arial" w:hAnsi="Arial" w:cs="Arial"/>
          <w:sz w:val="19"/>
          <w:szCs w:val="19"/>
        </w:rPr>
      </w:pPr>
      <w:r w:rsidRPr="000C7BBB">
        <w:rPr>
          <w:rFonts w:ascii="Arial" w:hAnsi="Arial" w:cs="Arial"/>
          <w:sz w:val="19"/>
          <w:szCs w:val="19"/>
        </w:rPr>
        <w:t xml:space="preserve">For budgeting purposes identify what the FSP service fee is </w:t>
      </w:r>
      <w:proofErr w:type="gramStart"/>
      <w:r w:rsidRPr="000C7BBB">
        <w:rPr>
          <w:rFonts w:ascii="Arial" w:hAnsi="Arial" w:cs="Arial"/>
          <w:sz w:val="19"/>
          <w:szCs w:val="19"/>
        </w:rPr>
        <w:t>and also</w:t>
      </w:r>
      <w:proofErr w:type="gramEnd"/>
      <w:r w:rsidRPr="000C7BBB">
        <w:rPr>
          <w:rFonts w:ascii="Arial" w:hAnsi="Arial" w:cs="Arial"/>
          <w:sz w:val="19"/>
          <w:szCs w:val="19"/>
        </w:rPr>
        <w:t xml:space="preserve"> any exchange rate losses. Exchange rate losses may occur when the FSP provides an exchange rate for undertaking the currency conversion which is less than the market rate. This can be 3 to 5% with MoneyGram for example.</w:t>
      </w:r>
    </w:p>
    <w:p w14:paraId="4C7CD3E1" w14:textId="2A758748" w:rsidR="00B250CA" w:rsidRPr="000C7BBB" w:rsidRDefault="00B250CA" w:rsidP="00DB2ABE">
      <w:pPr>
        <w:pStyle w:val="ListParagraph"/>
        <w:numPr>
          <w:ilvl w:val="0"/>
          <w:numId w:val="28"/>
        </w:numPr>
        <w:jc w:val="both"/>
        <w:rPr>
          <w:rFonts w:ascii="Arial" w:hAnsi="Arial" w:cs="Arial"/>
          <w:sz w:val="19"/>
          <w:szCs w:val="19"/>
        </w:rPr>
      </w:pPr>
      <w:r w:rsidRPr="000C7BBB">
        <w:rPr>
          <w:rFonts w:ascii="Arial" w:hAnsi="Arial" w:cs="Arial"/>
          <w:sz w:val="19"/>
          <w:szCs w:val="19"/>
        </w:rPr>
        <w:t xml:space="preserve">Ask CVA colleagues or undertake directly to look at CVA transfer mechanism options. Even if an FSP agreement is in place it may not be suitable for rental </w:t>
      </w:r>
      <w:proofErr w:type="gramStart"/>
      <w:r w:rsidRPr="000C7BBB">
        <w:rPr>
          <w:rFonts w:ascii="Arial" w:hAnsi="Arial" w:cs="Arial"/>
          <w:sz w:val="19"/>
          <w:szCs w:val="19"/>
        </w:rPr>
        <w:t>payments</w:t>
      </w:r>
      <w:proofErr w:type="gramEnd"/>
      <w:r w:rsidRPr="000C7BBB">
        <w:rPr>
          <w:rFonts w:ascii="Arial" w:hAnsi="Arial" w:cs="Arial"/>
          <w:sz w:val="19"/>
          <w:szCs w:val="19"/>
        </w:rPr>
        <w:t xml:space="preserve"> or the losses may be very high for the scale of programme or the nature of rental payments which can be repeat payments. </w:t>
      </w:r>
      <w:r w:rsidR="00405E6E" w:rsidRPr="000C7BBB">
        <w:rPr>
          <w:rFonts w:ascii="Arial" w:hAnsi="Arial" w:cs="Arial"/>
          <w:sz w:val="19"/>
          <w:szCs w:val="19"/>
        </w:rPr>
        <w:t xml:space="preserve">Even changing the way that </w:t>
      </w:r>
      <w:r w:rsidRPr="000C7BBB">
        <w:rPr>
          <w:rFonts w:ascii="Arial" w:hAnsi="Arial" w:cs="Arial"/>
          <w:sz w:val="19"/>
          <w:szCs w:val="19"/>
        </w:rPr>
        <w:t>FSPs</w:t>
      </w:r>
      <w:r w:rsidR="00405E6E" w:rsidRPr="000C7BBB">
        <w:rPr>
          <w:rFonts w:ascii="Arial" w:hAnsi="Arial" w:cs="Arial"/>
          <w:sz w:val="19"/>
          <w:szCs w:val="19"/>
        </w:rPr>
        <w:t xml:space="preserve"> that the RC currently uses can impact losses. For example, using MoneyGram but allowing the receiving bank to do the conversion rather </w:t>
      </w:r>
      <w:proofErr w:type="gramStart"/>
      <w:r w:rsidR="00405E6E" w:rsidRPr="000C7BBB">
        <w:rPr>
          <w:rFonts w:ascii="Arial" w:hAnsi="Arial" w:cs="Arial"/>
          <w:sz w:val="19"/>
          <w:szCs w:val="19"/>
        </w:rPr>
        <w:t xml:space="preserve">than </w:t>
      </w:r>
      <w:r w:rsidRPr="000C7BBB">
        <w:rPr>
          <w:rFonts w:ascii="Arial" w:hAnsi="Arial" w:cs="Arial"/>
          <w:sz w:val="19"/>
          <w:szCs w:val="19"/>
        </w:rPr>
        <w:t xml:space="preserve"> </w:t>
      </w:r>
      <w:r w:rsidR="00405E6E" w:rsidRPr="000C7BBB">
        <w:rPr>
          <w:rFonts w:ascii="Arial" w:hAnsi="Arial" w:cs="Arial"/>
          <w:sz w:val="19"/>
          <w:szCs w:val="19"/>
        </w:rPr>
        <w:t>using</w:t>
      </w:r>
      <w:proofErr w:type="gramEnd"/>
      <w:r w:rsidR="00405E6E" w:rsidRPr="000C7BBB">
        <w:rPr>
          <w:rFonts w:ascii="Arial" w:hAnsi="Arial" w:cs="Arial"/>
          <w:sz w:val="19"/>
          <w:szCs w:val="19"/>
        </w:rPr>
        <w:t xml:space="preserve"> MoneyGram for currency conversions can save funds.</w:t>
      </w:r>
    </w:p>
    <w:p w14:paraId="6CC2A3F9" w14:textId="7664E7A6" w:rsidR="00405E6E" w:rsidRPr="000C7BBB" w:rsidRDefault="00B250CA" w:rsidP="00DB2ABE">
      <w:pPr>
        <w:pStyle w:val="ListParagraph"/>
        <w:numPr>
          <w:ilvl w:val="0"/>
          <w:numId w:val="28"/>
        </w:numPr>
        <w:jc w:val="both"/>
        <w:rPr>
          <w:rFonts w:ascii="Arial" w:hAnsi="Arial" w:cs="Arial"/>
          <w:sz w:val="19"/>
          <w:szCs w:val="19"/>
        </w:rPr>
      </w:pPr>
      <w:r w:rsidRPr="000C7BBB">
        <w:rPr>
          <w:rFonts w:ascii="Arial" w:hAnsi="Arial" w:cs="Arial"/>
          <w:sz w:val="19"/>
          <w:szCs w:val="19"/>
        </w:rPr>
        <w:t>Consider if the RC normal payments via. bank transfer could potentially be used and would be acceptable to finance colleague</w:t>
      </w:r>
      <w:r w:rsidR="00405E6E" w:rsidRPr="000C7BBB">
        <w:rPr>
          <w:rFonts w:ascii="Arial" w:hAnsi="Arial" w:cs="Arial"/>
          <w:sz w:val="19"/>
          <w:szCs w:val="19"/>
        </w:rPr>
        <w:t>s regarding administrative burden, rental payment information management and risk management etc.</w:t>
      </w:r>
    </w:p>
    <w:p w14:paraId="4EE27C8F" w14:textId="7FE09EF2" w:rsidR="00AE1C05" w:rsidRPr="000C7BBB" w:rsidRDefault="00AE1C05" w:rsidP="00DB2ABE">
      <w:pPr>
        <w:pStyle w:val="ListParagraph"/>
        <w:numPr>
          <w:ilvl w:val="0"/>
          <w:numId w:val="28"/>
        </w:numPr>
        <w:jc w:val="both"/>
        <w:rPr>
          <w:rFonts w:ascii="Arial" w:hAnsi="Arial" w:cs="Arial"/>
          <w:sz w:val="19"/>
          <w:szCs w:val="19"/>
        </w:rPr>
      </w:pPr>
      <w:r w:rsidRPr="000C7BBB">
        <w:rPr>
          <w:rFonts w:ascii="Arial" w:hAnsi="Arial" w:cs="Arial"/>
          <w:sz w:val="19"/>
          <w:szCs w:val="19"/>
        </w:rPr>
        <w:t>More than one FSP agreement should be in place since there needs to be redundancy in the system should the FSP fail to be able to make the payments for any reason.</w:t>
      </w:r>
    </w:p>
    <w:p w14:paraId="57E581FB" w14:textId="1961A5DC" w:rsidR="00E95DEC" w:rsidRPr="000C7BBB" w:rsidRDefault="00E95DEC" w:rsidP="00DB2ABE">
      <w:pPr>
        <w:pStyle w:val="ListParagraph"/>
        <w:numPr>
          <w:ilvl w:val="0"/>
          <w:numId w:val="28"/>
        </w:numPr>
        <w:jc w:val="both"/>
        <w:rPr>
          <w:rFonts w:ascii="Arial" w:hAnsi="Arial" w:cs="Arial"/>
          <w:sz w:val="19"/>
          <w:szCs w:val="19"/>
        </w:rPr>
      </w:pPr>
      <w:r w:rsidRPr="000C7BBB">
        <w:rPr>
          <w:rFonts w:ascii="Arial" w:hAnsi="Arial" w:cs="Arial"/>
          <w:sz w:val="19"/>
          <w:szCs w:val="19"/>
        </w:rPr>
        <w:t xml:space="preserve">Establish with </w:t>
      </w:r>
      <w:r w:rsidR="00435951" w:rsidRPr="000C7BBB">
        <w:rPr>
          <w:rFonts w:ascii="Arial" w:hAnsi="Arial" w:cs="Arial"/>
          <w:sz w:val="19"/>
          <w:szCs w:val="19"/>
        </w:rPr>
        <w:t xml:space="preserve">finance colleagues that they </w:t>
      </w:r>
      <w:proofErr w:type="gramStart"/>
      <w:r w:rsidR="00435951" w:rsidRPr="000C7BBB">
        <w:rPr>
          <w:rFonts w:ascii="Arial" w:hAnsi="Arial" w:cs="Arial"/>
          <w:sz w:val="19"/>
          <w:szCs w:val="19"/>
        </w:rPr>
        <w:t>are able to</w:t>
      </w:r>
      <w:proofErr w:type="gramEnd"/>
      <w:r w:rsidR="00435951" w:rsidRPr="000C7BBB">
        <w:rPr>
          <w:rFonts w:ascii="Arial" w:hAnsi="Arial" w:cs="Arial"/>
          <w:sz w:val="19"/>
          <w:szCs w:val="19"/>
        </w:rPr>
        <w:t xml:space="preserve"> make payments on the same day the tenancy commences and 1 day in advance (if this is the rental practice norm) on future months. If this is not possible discuss with finance the possibilities</w:t>
      </w:r>
      <w:r w:rsidR="001D7142" w:rsidRPr="000C7BBB">
        <w:rPr>
          <w:rFonts w:ascii="Arial" w:hAnsi="Arial" w:cs="Arial"/>
          <w:sz w:val="19"/>
          <w:szCs w:val="19"/>
        </w:rPr>
        <w:t xml:space="preserve"> for payments each month</w:t>
      </w:r>
      <w:r w:rsidR="00435951" w:rsidRPr="000C7BBB">
        <w:rPr>
          <w:rFonts w:ascii="Arial" w:hAnsi="Arial" w:cs="Arial"/>
          <w:sz w:val="19"/>
          <w:szCs w:val="19"/>
        </w:rPr>
        <w:t xml:space="preserve">. For example, </w:t>
      </w:r>
      <w:r w:rsidR="001D7142" w:rsidRPr="000C7BBB">
        <w:rPr>
          <w:rFonts w:ascii="Arial" w:hAnsi="Arial" w:cs="Arial"/>
          <w:sz w:val="19"/>
          <w:szCs w:val="19"/>
        </w:rPr>
        <w:t xml:space="preserve">this could be that rental payments will be paid twice per month. This means that the communication with tenants </w:t>
      </w:r>
      <w:r w:rsidR="001D7142" w:rsidRPr="000C7BBB">
        <w:rPr>
          <w:rFonts w:ascii="Arial" w:hAnsi="Arial" w:cs="Arial"/>
          <w:sz w:val="19"/>
          <w:szCs w:val="19"/>
        </w:rPr>
        <w:lastRenderedPageBreak/>
        <w:t xml:space="preserve">and property owners needs to be clear so that their expectations will be managed. For example, the programme orientation information could state: </w:t>
      </w:r>
      <w:r w:rsidR="00811E6D" w:rsidRPr="000C7BBB">
        <w:rPr>
          <w:rFonts w:ascii="Arial" w:hAnsi="Arial" w:cs="Arial"/>
          <w:sz w:val="19"/>
          <w:szCs w:val="19"/>
        </w:rPr>
        <w:t>“rental</w:t>
      </w:r>
      <w:r w:rsidR="001D7142" w:rsidRPr="000C7BBB">
        <w:rPr>
          <w:rFonts w:ascii="Arial" w:hAnsi="Arial" w:cs="Arial"/>
          <w:sz w:val="19"/>
          <w:szCs w:val="19"/>
        </w:rPr>
        <w:t xml:space="preserve"> payments are paid to the tenant family on either the </w:t>
      </w:r>
      <w:proofErr w:type="gramStart"/>
      <w:r w:rsidR="001D7142" w:rsidRPr="000C7BBB">
        <w:rPr>
          <w:rFonts w:ascii="Arial" w:hAnsi="Arial" w:cs="Arial"/>
          <w:sz w:val="19"/>
          <w:szCs w:val="19"/>
        </w:rPr>
        <w:t>4</w:t>
      </w:r>
      <w:r w:rsidR="001D7142" w:rsidRPr="000C7BBB">
        <w:rPr>
          <w:rFonts w:ascii="Arial" w:hAnsi="Arial" w:cs="Arial"/>
          <w:sz w:val="19"/>
          <w:szCs w:val="19"/>
          <w:vertAlign w:val="superscript"/>
        </w:rPr>
        <w:t>st</w:t>
      </w:r>
      <w:proofErr w:type="gramEnd"/>
      <w:r w:rsidR="001D7142" w:rsidRPr="000C7BBB">
        <w:rPr>
          <w:rFonts w:ascii="Arial" w:hAnsi="Arial" w:cs="Arial"/>
          <w:sz w:val="19"/>
          <w:szCs w:val="19"/>
        </w:rPr>
        <w:t xml:space="preserve"> or the 20</w:t>
      </w:r>
      <w:r w:rsidR="001D7142" w:rsidRPr="000C7BBB">
        <w:rPr>
          <w:rFonts w:ascii="Arial" w:hAnsi="Arial" w:cs="Arial"/>
          <w:sz w:val="19"/>
          <w:szCs w:val="19"/>
          <w:vertAlign w:val="superscript"/>
        </w:rPr>
        <w:t>th</w:t>
      </w:r>
      <w:r w:rsidR="001D7142" w:rsidRPr="000C7BBB">
        <w:rPr>
          <w:rFonts w:ascii="Arial" w:hAnsi="Arial" w:cs="Arial"/>
          <w:sz w:val="19"/>
          <w:szCs w:val="19"/>
        </w:rPr>
        <w:t xml:space="preserve"> of each month. This will mean that if for example, you signed the tenancy agreement with the first date of the tenancy starting on the 1</w:t>
      </w:r>
      <w:r w:rsidR="001D7142" w:rsidRPr="000C7BBB">
        <w:rPr>
          <w:rFonts w:ascii="Arial" w:hAnsi="Arial" w:cs="Arial"/>
          <w:sz w:val="19"/>
          <w:szCs w:val="19"/>
          <w:vertAlign w:val="superscript"/>
        </w:rPr>
        <w:t>st</w:t>
      </w:r>
      <w:r w:rsidR="001D7142" w:rsidRPr="000C7BBB">
        <w:rPr>
          <w:rFonts w:ascii="Arial" w:hAnsi="Arial" w:cs="Arial"/>
          <w:sz w:val="19"/>
          <w:szCs w:val="19"/>
        </w:rPr>
        <w:t xml:space="preserve"> of the month, the first payment and the deposit would be paid within 24hrs of signing the agreement, however, subsequent payments would occur on the payment date before but as close as possible to the rental payment due date, to allow you to make the payment on time”. i.e. In this situation the tenant would be paid on the 20</w:t>
      </w:r>
      <w:r w:rsidR="001D7142" w:rsidRPr="000C7BBB">
        <w:rPr>
          <w:rFonts w:ascii="Arial" w:hAnsi="Arial" w:cs="Arial"/>
          <w:sz w:val="19"/>
          <w:szCs w:val="19"/>
          <w:vertAlign w:val="superscript"/>
        </w:rPr>
        <w:t>th</w:t>
      </w:r>
      <w:r w:rsidR="001D7142" w:rsidRPr="000C7BBB">
        <w:rPr>
          <w:rFonts w:ascii="Arial" w:hAnsi="Arial" w:cs="Arial"/>
          <w:sz w:val="19"/>
          <w:szCs w:val="19"/>
        </w:rPr>
        <w:t xml:space="preserve"> of each month.</w:t>
      </w:r>
    </w:p>
    <w:p w14:paraId="5B6789CB" w14:textId="1B33A424" w:rsidR="00405E6E" w:rsidRPr="00DB2ABE" w:rsidRDefault="00405E6E" w:rsidP="00DB2ABE">
      <w:pPr>
        <w:pStyle w:val="Heading1"/>
        <w:jc w:val="both"/>
        <w:rPr>
          <w:rFonts w:ascii="Century Gothic" w:hAnsi="Century Gothic" w:cs="Arial"/>
          <w:b/>
          <w:bCs/>
          <w:color w:val="F5333F"/>
          <w:sz w:val="22"/>
          <w:szCs w:val="22"/>
        </w:rPr>
      </w:pPr>
      <w:bookmarkStart w:id="5" w:name="_Toc142739483"/>
      <w:r w:rsidRPr="00DB2ABE">
        <w:rPr>
          <w:rFonts w:ascii="Century Gothic" w:hAnsi="Century Gothic" w:cs="Arial"/>
          <w:b/>
          <w:bCs/>
          <w:color w:val="F5333F"/>
          <w:sz w:val="22"/>
          <w:szCs w:val="22"/>
        </w:rPr>
        <w:t>Payments to Property Owners</w:t>
      </w:r>
      <w:bookmarkEnd w:id="5"/>
    </w:p>
    <w:p w14:paraId="66C6D89C" w14:textId="0E49E957" w:rsidR="00AE1C05" w:rsidRPr="000C7BBB" w:rsidRDefault="00DB2ABE" w:rsidP="00DB2ABE">
      <w:pPr>
        <w:jc w:val="both"/>
        <w:rPr>
          <w:rFonts w:ascii="Arial" w:hAnsi="Arial" w:cs="Arial"/>
          <w:sz w:val="19"/>
          <w:szCs w:val="19"/>
        </w:rPr>
      </w:pPr>
      <w:r>
        <w:rPr>
          <w:rFonts w:ascii="Arial" w:hAnsi="Arial" w:cs="Arial"/>
          <w:sz w:val="19"/>
          <w:szCs w:val="19"/>
        </w:rPr>
        <w:br/>
      </w:r>
      <w:r w:rsidR="00AE1C05" w:rsidRPr="000C7BBB">
        <w:rPr>
          <w:rFonts w:ascii="Arial" w:hAnsi="Arial" w:cs="Arial"/>
          <w:sz w:val="19"/>
          <w:szCs w:val="19"/>
        </w:rPr>
        <w:t xml:space="preserve">Although it is recommended that payments are made to the tenant household to promote choice, empower them in the tenant-property owner relationship, and to promote self-reliance, in some contexts this </w:t>
      </w:r>
      <w:proofErr w:type="spellStart"/>
      <w:r w:rsidR="00AE1C05" w:rsidRPr="000C7BBB">
        <w:rPr>
          <w:rFonts w:ascii="Arial" w:hAnsi="Arial" w:cs="Arial"/>
          <w:sz w:val="19"/>
          <w:szCs w:val="19"/>
        </w:rPr>
        <w:t>can not</w:t>
      </w:r>
      <w:proofErr w:type="spellEnd"/>
      <w:r w:rsidR="00AE1C05" w:rsidRPr="000C7BBB">
        <w:rPr>
          <w:rFonts w:ascii="Arial" w:hAnsi="Arial" w:cs="Arial"/>
          <w:sz w:val="19"/>
          <w:szCs w:val="19"/>
        </w:rPr>
        <w:t xml:space="preserve"> always occur.</w:t>
      </w:r>
    </w:p>
    <w:p w14:paraId="7507F6A5" w14:textId="40A43A24" w:rsidR="00811934" w:rsidRPr="00DB2ABE" w:rsidRDefault="00DB2ABE" w:rsidP="00DB2ABE">
      <w:pPr>
        <w:pStyle w:val="Heading2"/>
        <w:jc w:val="both"/>
        <w:rPr>
          <w:rFonts w:ascii="Century Gothic" w:hAnsi="Century Gothic" w:cs="Arial"/>
          <w:b/>
          <w:bCs/>
          <w:sz w:val="22"/>
          <w:szCs w:val="22"/>
        </w:rPr>
      </w:pPr>
      <w:bookmarkStart w:id="6" w:name="_Toc142739484"/>
      <w:r>
        <w:rPr>
          <w:rFonts w:ascii="Arial" w:hAnsi="Arial" w:cs="Arial"/>
          <w:sz w:val="19"/>
          <w:szCs w:val="19"/>
        </w:rPr>
        <w:br/>
      </w:r>
      <w:r w:rsidR="00811934" w:rsidRPr="00DB2ABE">
        <w:rPr>
          <w:rFonts w:ascii="Century Gothic" w:hAnsi="Century Gothic" w:cs="Arial"/>
          <w:b/>
          <w:bCs/>
          <w:sz w:val="22"/>
          <w:szCs w:val="22"/>
        </w:rPr>
        <w:t>Paying Hotels and Hostels</w:t>
      </w:r>
      <w:bookmarkEnd w:id="6"/>
    </w:p>
    <w:p w14:paraId="02197022" w14:textId="77575051" w:rsidR="001B7FC5" w:rsidRPr="000C7BBB" w:rsidRDefault="00DB2ABE" w:rsidP="00DB2ABE">
      <w:pPr>
        <w:jc w:val="both"/>
        <w:rPr>
          <w:rFonts w:ascii="Arial" w:hAnsi="Arial" w:cs="Arial"/>
          <w:sz w:val="19"/>
          <w:szCs w:val="19"/>
        </w:rPr>
      </w:pPr>
      <w:r>
        <w:rPr>
          <w:rFonts w:ascii="Arial" w:hAnsi="Arial" w:cs="Arial"/>
          <w:sz w:val="19"/>
          <w:szCs w:val="19"/>
        </w:rPr>
        <w:br/>
      </w:r>
      <w:r w:rsidR="00811934" w:rsidRPr="000C7BBB">
        <w:rPr>
          <w:rFonts w:ascii="Arial" w:hAnsi="Arial" w:cs="Arial"/>
          <w:sz w:val="19"/>
          <w:szCs w:val="19"/>
        </w:rPr>
        <w:t xml:space="preserve">For service providers such as hostels, hotels, there is a need to make payments as per the terms agreed in the contracts, which will have gone via. a RC procurement process. It should be ensured that these service providers are paid promptly to avoid the </w:t>
      </w:r>
      <w:r w:rsidR="00AE1C05" w:rsidRPr="000C7BBB">
        <w:rPr>
          <w:rFonts w:ascii="Arial" w:hAnsi="Arial" w:cs="Arial"/>
          <w:sz w:val="19"/>
          <w:szCs w:val="19"/>
        </w:rPr>
        <w:t xml:space="preserve">threat of </w:t>
      </w:r>
      <w:r w:rsidR="00811934" w:rsidRPr="000C7BBB">
        <w:rPr>
          <w:rFonts w:ascii="Arial" w:hAnsi="Arial" w:cs="Arial"/>
          <w:sz w:val="19"/>
          <w:szCs w:val="19"/>
        </w:rPr>
        <w:t>eviction of the supported households.</w:t>
      </w:r>
    </w:p>
    <w:p w14:paraId="550A59F2" w14:textId="6BB11A13" w:rsidR="00811934" w:rsidRPr="00DB2ABE" w:rsidRDefault="00DB2ABE" w:rsidP="00DB2ABE">
      <w:pPr>
        <w:pStyle w:val="Heading2"/>
        <w:jc w:val="both"/>
        <w:rPr>
          <w:rFonts w:ascii="Century Gothic" w:hAnsi="Century Gothic" w:cs="Arial"/>
          <w:b/>
          <w:bCs/>
          <w:sz w:val="22"/>
          <w:szCs w:val="22"/>
        </w:rPr>
      </w:pPr>
      <w:bookmarkStart w:id="7" w:name="_Toc142739485"/>
      <w:r>
        <w:rPr>
          <w:rFonts w:ascii="Arial" w:hAnsi="Arial" w:cs="Arial"/>
          <w:sz w:val="19"/>
          <w:szCs w:val="19"/>
        </w:rPr>
        <w:br/>
      </w:r>
      <w:r w:rsidR="00811934" w:rsidRPr="00DB2ABE">
        <w:rPr>
          <w:rFonts w:ascii="Century Gothic" w:hAnsi="Century Gothic" w:cs="Arial"/>
          <w:b/>
          <w:bCs/>
          <w:color w:val="F5333F"/>
          <w:sz w:val="22"/>
          <w:szCs w:val="22"/>
        </w:rPr>
        <w:t>Paying private landlords of apartments and houses</w:t>
      </w:r>
      <w:bookmarkEnd w:id="7"/>
    </w:p>
    <w:p w14:paraId="1EA69555" w14:textId="0442456A" w:rsidR="00811934" w:rsidRPr="000C7BBB" w:rsidRDefault="00DB2ABE" w:rsidP="00DB2ABE">
      <w:pPr>
        <w:jc w:val="both"/>
        <w:rPr>
          <w:rFonts w:ascii="Arial" w:hAnsi="Arial" w:cs="Arial"/>
          <w:sz w:val="19"/>
          <w:szCs w:val="19"/>
        </w:rPr>
      </w:pPr>
      <w:r>
        <w:rPr>
          <w:rFonts w:ascii="Arial" w:hAnsi="Arial" w:cs="Arial"/>
          <w:sz w:val="19"/>
          <w:szCs w:val="19"/>
        </w:rPr>
        <w:br/>
      </w:r>
      <w:r w:rsidR="00811934" w:rsidRPr="000C7BBB">
        <w:rPr>
          <w:rFonts w:ascii="Arial" w:hAnsi="Arial" w:cs="Arial"/>
          <w:sz w:val="19"/>
          <w:szCs w:val="19"/>
        </w:rPr>
        <w:t xml:space="preserve">These may be private individuals or small companies who are the landlord as agreed under the tenancy. From experience in a range of rental assistance programmes undertaken by the RC these </w:t>
      </w:r>
      <w:r w:rsidR="00AE1C05" w:rsidRPr="000C7BBB">
        <w:rPr>
          <w:rFonts w:ascii="Arial" w:hAnsi="Arial" w:cs="Arial"/>
          <w:sz w:val="19"/>
          <w:szCs w:val="19"/>
        </w:rPr>
        <w:t>have been paid via. the same processes that are used for cash and voucher assistance (CVA) programming</w:t>
      </w:r>
      <w:r w:rsidR="001B7FC5" w:rsidRPr="000C7BBB">
        <w:rPr>
          <w:rFonts w:ascii="Arial" w:hAnsi="Arial" w:cs="Arial"/>
          <w:sz w:val="19"/>
          <w:szCs w:val="19"/>
        </w:rPr>
        <w:t>, and not via. a procurement and logistical process.</w:t>
      </w:r>
    </w:p>
    <w:p w14:paraId="5470350C" w14:textId="5348E5D4" w:rsidR="00811934" w:rsidRPr="000C7BBB" w:rsidRDefault="00AE1C05" w:rsidP="00DB2ABE">
      <w:pPr>
        <w:jc w:val="both"/>
        <w:rPr>
          <w:rFonts w:ascii="Arial" w:hAnsi="Arial" w:cs="Arial"/>
          <w:sz w:val="19"/>
          <w:szCs w:val="19"/>
        </w:rPr>
      </w:pPr>
      <w:r w:rsidRPr="000C7BBB">
        <w:rPr>
          <w:rFonts w:ascii="Arial" w:hAnsi="Arial" w:cs="Arial"/>
          <w:sz w:val="19"/>
          <w:szCs w:val="19"/>
        </w:rPr>
        <w:t>A discussion may need to occur with senior RC management to ensure that payments to property owners on a rental assistance programme where payment is made directly to the property owner uses RC processes that can pay in a timely manner and give the shelter programming team appropriate control to enrol a property owner into a programme or to stop a payment should a tenant move or a tenancy end.</w:t>
      </w:r>
    </w:p>
    <w:p w14:paraId="022A2CA2" w14:textId="5C2AB21D" w:rsidR="00AE1C05" w:rsidRPr="00DB2ABE" w:rsidRDefault="00E95DEC" w:rsidP="00DB2ABE">
      <w:pPr>
        <w:pStyle w:val="Heading1"/>
        <w:jc w:val="both"/>
        <w:rPr>
          <w:rFonts w:ascii="Century Gothic" w:hAnsi="Century Gothic" w:cs="Arial"/>
          <w:b/>
          <w:bCs/>
          <w:color w:val="F5333F"/>
          <w:sz w:val="19"/>
          <w:szCs w:val="19"/>
        </w:rPr>
      </w:pPr>
      <w:bookmarkStart w:id="8" w:name="_Toc142739486"/>
      <w:r w:rsidRPr="00DB2ABE">
        <w:rPr>
          <w:rFonts w:ascii="Century Gothic" w:hAnsi="Century Gothic" w:cs="Arial"/>
          <w:b/>
          <w:bCs/>
          <w:color w:val="F5333F"/>
          <w:sz w:val="19"/>
          <w:szCs w:val="19"/>
        </w:rPr>
        <w:t>Conditionality and Restrictions</w:t>
      </w:r>
      <w:bookmarkEnd w:id="8"/>
    </w:p>
    <w:p w14:paraId="3159A228" w14:textId="7FA492B7" w:rsidR="00E95DEC" w:rsidRPr="000C7BBB" w:rsidRDefault="00DB2ABE" w:rsidP="00DB2ABE">
      <w:pPr>
        <w:jc w:val="both"/>
        <w:rPr>
          <w:rFonts w:ascii="Arial" w:hAnsi="Arial" w:cs="Arial"/>
          <w:sz w:val="19"/>
          <w:szCs w:val="19"/>
        </w:rPr>
      </w:pPr>
      <w:r>
        <w:rPr>
          <w:rFonts w:ascii="Arial" w:hAnsi="Arial" w:cs="Arial"/>
          <w:sz w:val="19"/>
          <w:szCs w:val="19"/>
        </w:rPr>
        <w:br/>
      </w:r>
      <w:r w:rsidR="00E95DEC" w:rsidRPr="000C7BBB">
        <w:rPr>
          <w:rFonts w:ascii="Arial" w:hAnsi="Arial" w:cs="Arial"/>
          <w:sz w:val="19"/>
          <w:szCs w:val="19"/>
        </w:rPr>
        <w:t>For the success of the programme (to meet specific objectives) it may be necessary to place specific conditions and restrictions on the rental assistance. Typical ones include:</w:t>
      </w:r>
    </w:p>
    <w:p w14:paraId="0E8C14F6" w14:textId="3F819E29" w:rsidR="00E95DEC" w:rsidRPr="000C7BBB" w:rsidRDefault="00E95DEC" w:rsidP="00DB2ABE">
      <w:pPr>
        <w:pStyle w:val="ListParagraph"/>
        <w:numPr>
          <w:ilvl w:val="0"/>
          <w:numId w:val="29"/>
        </w:numPr>
        <w:jc w:val="both"/>
        <w:rPr>
          <w:rFonts w:ascii="Arial" w:hAnsi="Arial" w:cs="Arial"/>
          <w:sz w:val="19"/>
          <w:szCs w:val="19"/>
        </w:rPr>
      </w:pPr>
      <w:r w:rsidRPr="000C7BBB">
        <w:rPr>
          <w:rFonts w:ascii="Arial" w:hAnsi="Arial" w:cs="Arial"/>
          <w:sz w:val="19"/>
          <w:szCs w:val="19"/>
        </w:rPr>
        <w:t>A condition that the target (tenant) household must attend an orientation meeting related to how the rental programme operates and their obligations (e.g. to inform the RC if they move and end the agreed tenancy).</w:t>
      </w:r>
    </w:p>
    <w:p w14:paraId="345ADFA2" w14:textId="268B961E" w:rsidR="00E95DEC" w:rsidRPr="000C7BBB" w:rsidRDefault="00E95DEC" w:rsidP="00DB2ABE">
      <w:pPr>
        <w:pStyle w:val="ListParagraph"/>
        <w:numPr>
          <w:ilvl w:val="0"/>
          <w:numId w:val="29"/>
        </w:numPr>
        <w:jc w:val="both"/>
        <w:rPr>
          <w:rFonts w:ascii="Arial" w:hAnsi="Arial" w:cs="Arial"/>
          <w:sz w:val="19"/>
          <w:szCs w:val="19"/>
        </w:rPr>
      </w:pPr>
      <w:r w:rsidRPr="000C7BBB">
        <w:rPr>
          <w:rFonts w:ascii="Arial" w:hAnsi="Arial" w:cs="Arial"/>
          <w:sz w:val="19"/>
          <w:szCs w:val="19"/>
        </w:rPr>
        <w:t>A condition that the target (tenant) household has a valid tenancy agreement in place.</w:t>
      </w:r>
    </w:p>
    <w:p w14:paraId="21CF3E09" w14:textId="689211ED" w:rsidR="00E95DEC" w:rsidRPr="000C7BBB" w:rsidRDefault="00E95DEC" w:rsidP="00DB2ABE">
      <w:pPr>
        <w:pStyle w:val="ListParagraph"/>
        <w:numPr>
          <w:ilvl w:val="0"/>
          <w:numId w:val="29"/>
        </w:numPr>
        <w:jc w:val="both"/>
        <w:rPr>
          <w:rFonts w:ascii="Arial" w:hAnsi="Arial" w:cs="Arial"/>
          <w:sz w:val="19"/>
          <w:szCs w:val="19"/>
        </w:rPr>
      </w:pPr>
      <w:r w:rsidRPr="000C7BBB">
        <w:rPr>
          <w:rFonts w:ascii="Arial" w:hAnsi="Arial" w:cs="Arial"/>
          <w:sz w:val="19"/>
          <w:szCs w:val="19"/>
        </w:rPr>
        <w:t>A condition that the target (tenant) household is still living in the agreed property prior to the next monthly rental payment being paid.</w:t>
      </w:r>
    </w:p>
    <w:p w14:paraId="4BB2B501" w14:textId="08D60C90" w:rsidR="00E95DEC" w:rsidRPr="000C7BBB" w:rsidRDefault="00E95DEC" w:rsidP="00DB2ABE">
      <w:pPr>
        <w:pStyle w:val="ListParagraph"/>
        <w:numPr>
          <w:ilvl w:val="0"/>
          <w:numId w:val="29"/>
        </w:numPr>
        <w:jc w:val="both"/>
        <w:rPr>
          <w:rFonts w:ascii="Arial" w:hAnsi="Arial" w:cs="Arial"/>
          <w:sz w:val="19"/>
          <w:szCs w:val="19"/>
        </w:rPr>
      </w:pPr>
      <w:r w:rsidRPr="000C7BBB">
        <w:rPr>
          <w:rFonts w:ascii="Arial" w:hAnsi="Arial" w:cs="Arial"/>
          <w:sz w:val="19"/>
          <w:szCs w:val="19"/>
        </w:rPr>
        <w:t>Where a voucher is used to allow a displaced family to access a specific chain of hostels or hotels then this would be a restriction.</w:t>
      </w:r>
    </w:p>
    <w:p w14:paraId="4F8DD381" w14:textId="27A447D4" w:rsidR="000D011B" w:rsidRPr="000C7BBB" w:rsidRDefault="000D011B" w:rsidP="00DB2ABE">
      <w:pPr>
        <w:jc w:val="both"/>
        <w:rPr>
          <w:rFonts w:ascii="Arial" w:hAnsi="Arial" w:cs="Arial"/>
          <w:sz w:val="19"/>
          <w:szCs w:val="19"/>
        </w:rPr>
      </w:pPr>
      <w:r w:rsidRPr="000C7BBB">
        <w:rPr>
          <w:rFonts w:ascii="Arial" w:hAnsi="Arial" w:cs="Arial"/>
          <w:sz w:val="19"/>
          <w:szCs w:val="19"/>
        </w:rPr>
        <w:t>For those elements that are conditional, proof (e.g. scanned tenancy agreement, or form completed when phone call occurs to check occupancy) may need to be loaded into the information management system, which can later be checked by those undertaking financial approvals.</w:t>
      </w:r>
    </w:p>
    <w:p w14:paraId="78003A75" w14:textId="546AFA97" w:rsidR="00E95DEC" w:rsidRPr="00DB2ABE" w:rsidRDefault="00E95DEC" w:rsidP="00DB2ABE">
      <w:pPr>
        <w:pStyle w:val="Heading1"/>
        <w:jc w:val="both"/>
        <w:rPr>
          <w:rFonts w:ascii="Century Gothic" w:hAnsi="Century Gothic" w:cs="Arial"/>
          <w:b/>
          <w:bCs/>
          <w:color w:val="F5333F"/>
          <w:sz w:val="22"/>
          <w:szCs w:val="22"/>
        </w:rPr>
      </w:pPr>
      <w:bookmarkStart w:id="9" w:name="_Toc142739487"/>
      <w:r w:rsidRPr="00DB2ABE">
        <w:rPr>
          <w:rFonts w:ascii="Century Gothic" w:hAnsi="Century Gothic" w:cs="Arial"/>
          <w:b/>
          <w:bCs/>
          <w:color w:val="F5333F"/>
          <w:sz w:val="22"/>
          <w:szCs w:val="22"/>
        </w:rPr>
        <w:t>Payment in Tranches</w:t>
      </w:r>
      <w:bookmarkEnd w:id="9"/>
    </w:p>
    <w:p w14:paraId="05100AD2" w14:textId="3AEB58CD" w:rsidR="00E95DEC" w:rsidRPr="000C7BBB" w:rsidRDefault="00DB2ABE" w:rsidP="00DB2ABE">
      <w:pPr>
        <w:jc w:val="both"/>
        <w:rPr>
          <w:rFonts w:ascii="Arial" w:hAnsi="Arial" w:cs="Arial"/>
          <w:sz w:val="19"/>
          <w:szCs w:val="19"/>
        </w:rPr>
      </w:pPr>
      <w:r>
        <w:rPr>
          <w:rFonts w:ascii="Arial" w:hAnsi="Arial" w:cs="Arial"/>
          <w:sz w:val="19"/>
          <w:szCs w:val="19"/>
        </w:rPr>
        <w:br/>
      </w:r>
      <w:r w:rsidR="001D7142" w:rsidRPr="000C7BBB">
        <w:rPr>
          <w:rFonts w:ascii="Arial" w:hAnsi="Arial" w:cs="Arial"/>
          <w:sz w:val="19"/>
          <w:szCs w:val="19"/>
        </w:rPr>
        <w:t xml:space="preserve">Although </w:t>
      </w:r>
      <w:r w:rsidR="00E95DEC" w:rsidRPr="000C7BBB">
        <w:rPr>
          <w:rFonts w:ascii="Arial" w:hAnsi="Arial" w:cs="Arial"/>
          <w:sz w:val="19"/>
          <w:szCs w:val="19"/>
        </w:rPr>
        <w:t xml:space="preserve">the number of payment tranches should be minimised to reduce transfer costs and to support the </w:t>
      </w:r>
      <w:r w:rsidR="00C1060C" w:rsidRPr="000C7BBB">
        <w:rPr>
          <w:rFonts w:ascii="Arial" w:hAnsi="Arial" w:cs="Arial"/>
          <w:sz w:val="19"/>
          <w:szCs w:val="19"/>
        </w:rPr>
        <w:t>household’s</w:t>
      </w:r>
      <w:r w:rsidR="00E95DEC" w:rsidRPr="000C7BBB">
        <w:rPr>
          <w:rFonts w:ascii="Arial" w:hAnsi="Arial" w:cs="Arial"/>
          <w:sz w:val="19"/>
          <w:szCs w:val="19"/>
        </w:rPr>
        <w:t xml:space="preserve"> self-reliance and normal household budgeting, for rental payments it is normal to pay per month </w:t>
      </w:r>
      <w:r w:rsidR="001D7142" w:rsidRPr="000C7BBB">
        <w:rPr>
          <w:rFonts w:ascii="Arial" w:hAnsi="Arial" w:cs="Arial"/>
          <w:sz w:val="19"/>
          <w:szCs w:val="19"/>
        </w:rPr>
        <w:t>and in</w:t>
      </w:r>
      <w:r w:rsidR="00E95DEC" w:rsidRPr="000C7BBB">
        <w:rPr>
          <w:rFonts w:ascii="Arial" w:hAnsi="Arial" w:cs="Arial"/>
          <w:sz w:val="19"/>
          <w:szCs w:val="19"/>
        </w:rPr>
        <w:t xml:space="preserve"> advance</w:t>
      </w:r>
      <w:r w:rsidR="001D7142" w:rsidRPr="000C7BBB">
        <w:rPr>
          <w:rFonts w:ascii="Arial" w:hAnsi="Arial" w:cs="Arial"/>
          <w:sz w:val="19"/>
          <w:szCs w:val="19"/>
        </w:rPr>
        <w:t>.</w:t>
      </w:r>
    </w:p>
    <w:p w14:paraId="60551E7E" w14:textId="66A07001" w:rsidR="000D011B" w:rsidRPr="00DB2ABE" w:rsidRDefault="000D011B" w:rsidP="00DB2ABE">
      <w:pPr>
        <w:jc w:val="both"/>
        <w:rPr>
          <w:rFonts w:ascii="Century Gothic" w:eastAsiaTheme="majorEastAsia" w:hAnsi="Century Gothic" w:cs="Arial"/>
          <w:b/>
          <w:bCs/>
          <w:color w:val="F5333F"/>
        </w:rPr>
      </w:pPr>
      <w:r w:rsidRPr="00DB2ABE">
        <w:rPr>
          <w:rFonts w:ascii="Century Gothic" w:eastAsiaTheme="majorEastAsia" w:hAnsi="Century Gothic" w:cs="Arial"/>
          <w:b/>
          <w:bCs/>
          <w:color w:val="F5333F"/>
        </w:rPr>
        <w:lastRenderedPageBreak/>
        <w:t xml:space="preserve">Working with Finance </w:t>
      </w:r>
    </w:p>
    <w:p w14:paraId="27DD662D" w14:textId="146A64BF" w:rsidR="00531AEC" w:rsidRPr="000C7BBB" w:rsidRDefault="00531AEC" w:rsidP="00DB2ABE">
      <w:pPr>
        <w:jc w:val="both"/>
        <w:rPr>
          <w:rFonts w:ascii="Arial" w:hAnsi="Arial" w:cs="Arial"/>
          <w:sz w:val="19"/>
          <w:szCs w:val="19"/>
        </w:rPr>
      </w:pPr>
      <w:r w:rsidRPr="000C7BBB">
        <w:rPr>
          <w:rFonts w:ascii="Arial" w:hAnsi="Arial" w:cs="Arial"/>
          <w:sz w:val="19"/>
          <w:szCs w:val="19"/>
        </w:rPr>
        <w:t>Discuss and involve finance colleagues as early as possible so they can raise any issues which may impact your programme design.</w:t>
      </w:r>
    </w:p>
    <w:p w14:paraId="09734098" w14:textId="0719BC15" w:rsidR="001D7142" w:rsidRPr="00DB2ABE" w:rsidRDefault="001D7142" w:rsidP="00DB2ABE">
      <w:pPr>
        <w:pStyle w:val="Heading2"/>
        <w:jc w:val="both"/>
        <w:rPr>
          <w:rFonts w:ascii="Century Gothic" w:hAnsi="Century Gothic" w:cs="Arial"/>
          <w:b/>
          <w:bCs/>
          <w:color w:val="F5333F"/>
          <w:sz w:val="22"/>
          <w:szCs w:val="22"/>
        </w:rPr>
      </w:pPr>
      <w:bookmarkStart w:id="10" w:name="_Toc142739488"/>
      <w:r w:rsidRPr="00DB2ABE">
        <w:rPr>
          <w:rFonts w:ascii="Century Gothic" w:hAnsi="Century Gothic" w:cs="Arial"/>
          <w:b/>
          <w:bCs/>
          <w:color w:val="F5333F"/>
          <w:sz w:val="22"/>
          <w:szCs w:val="22"/>
        </w:rPr>
        <w:t>Forecasting Monthly Payments</w:t>
      </w:r>
      <w:r w:rsidR="00BA7951" w:rsidRPr="00DB2ABE">
        <w:rPr>
          <w:rFonts w:ascii="Century Gothic" w:hAnsi="Century Gothic" w:cs="Arial"/>
          <w:b/>
          <w:bCs/>
          <w:color w:val="F5333F"/>
          <w:sz w:val="22"/>
          <w:szCs w:val="22"/>
        </w:rPr>
        <w:t xml:space="preserve"> &amp; </w:t>
      </w:r>
      <w:r w:rsidR="00AB7EE5" w:rsidRPr="00DB2ABE">
        <w:rPr>
          <w:rFonts w:ascii="Century Gothic" w:hAnsi="Century Gothic" w:cs="Arial"/>
          <w:b/>
          <w:bCs/>
          <w:color w:val="F5333F"/>
          <w:sz w:val="22"/>
          <w:szCs w:val="22"/>
        </w:rPr>
        <w:t>Budgeting</w:t>
      </w:r>
      <w:bookmarkEnd w:id="10"/>
    </w:p>
    <w:p w14:paraId="66C62FBB" w14:textId="581EEC51" w:rsidR="000D011B" w:rsidRPr="000C7BBB" w:rsidRDefault="00DB2ABE" w:rsidP="00DB2ABE">
      <w:pPr>
        <w:jc w:val="both"/>
        <w:rPr>
          <w:rFonts w:ascii="Arial" w:hAnsi="Arial" w:cs="Arial"/>
          <w:sz w:val="19"/>
          <w:szCs w:val="19"/>
        </w:rPr>
      </w:pPr>
      <w:r>
        <w:rPr>
          <w:rFonts w:ascii="Arial" w:hAnsi="Arial" w:cs="Arial"/>
          <w:sz w:val="19"/>
          <w:szCs w:val="19"/>
        </w:rPr>
        <w:br/>
      </w:r>
      <w:r w:rsidR="001D7142" w:rsidRPr="000C7BBB">
        <w:rPr>
          <w:rFonts w:ascii="Arial" w:hAnsi="Arial" w:cs="Arial"/>
          <w:sz w:val="19"/>
          <w:szCs w:val="19"/>
        </w:rPr>
        <w:t xml:space="preserve">It can be useful to summarise the rental payment plans to assist in discussions with finance and other colleagues and to help them to be aware of cash flow needs related to the programme. An example, edited from the </w:t>
      </w:r>
      <w:hyperlink r:id="rId11" w:tgtFrame="_blank" w:history="1">
        <w:r w:rsidR="001D7142" w:rsidRPr="000C7BBB">
          <w:rPr>
            <w:rStyle w:val="normaltextrun"/>
            <w:rFonts w:ascii="Arial" w:eastAsiaTheme="majorEastAsia" w:hAnsi="Arial" w:cs="Arial"/>
            <w:color w:val="0563C1"/>
            <w:sz w:val="19"/>
            <w:szCs w:val="19"/>
            <w:u w:val="single"/>
          </w:rPr>
          <w:t>IFRC (2020) Step-by-step guide for rental assistance to people affected by crisis</w:t>
        </w:r>
      </w:hyperlink>
      <w:r w:rsidR="001D7142" w:rsidRPr="000C7BBB">
        <w:rPr>
          <w:rFonts w:ascii="Arial" w:hAnsi="Arial" w:cs="Arial"/>
          <w:sz w:val="19"/>
          <w:szCs w:val="19"/>
        </w:rPr>
        <w:t xml:space="preserve"> , step 2, sub-step 1.6</w:t>
      </w:r>
      <w:r w:rsidR="000D011B" w:rsidRPr="000C7BBB">
        <w:rPr>
          <w:rFonts w:ascii="Arial" w:hAnsi="Arial" w:cs="Arial"/>
          <w:sz w:val="19"/>
          <w:szCs w:val="19"/>
        </w:rPr>
        <w:t xml:space="preserve"> is shown below:</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06"/>
        <w:gridCol w:w="3005"/>
        <w:gridCol w:w="3005"/>
      </w:tblGrid>
      <w:tr w:rsidR="000D011B" w:rsidRPr="000C7BBB" w14:paraId="0F5268AF" w14:textId="3FCFAED1" w:rsidTr="00DB2ABE">
        <w:tc>
          <w:tcPr>
            <w:tcW w:w="3006" w:type="dxa"/>
            <w:tcBorders>
              <w:bottom w:val="single" w:sz="4" w:space="0" w:color="F5333F"/>
            </w:tcBorders>
            <w:shd w:val="clear" w:color="auto" w:fill="F5333F"/>
          </w:tcPr>
          <w:p w14:paraId="7C44530C" w14:textId="74BF8DA7" w:rsidR="000D011B" w:rsidRPr="00DB2ABE" w:rsidRDefault="000D011B" w:rsidP="00DB2ABE">
            <w:pPr>
              <w:jc w:val="both"/>
              <w:rPr>
                <w:rFonts w:ascii="Arial" w:hAnsi="Arial" w:cs="Arial"/>
                <w:b/>
                <w:bCs/>
                <w:color w:val="FFFFFF" w:themeColor="background1"/>
                <w:sz w:val="19"/>
                <w:szCs w:val="19"/>
              </w:rPr>
            </w:pPr>
            <w:r w:rsidRPr="00DB2ABE">
              <w:rPr>
                <w:rFonts w:ascii="Arial" w:hAnsi="Arial" w:cs="Arial"/>
                <w:b/>
                <w:bCs/>
                <w:color w:val="FFFFFF" w:themeColor="background1"/>
                <w:sz w:val="19"/>
                <w:szCs w:val="19"/>
              </w:rPr>
              <w:t>Item</w:t>
            </w:r>
          </w:p>
        </w:tc>
        <w:tc>
          <w:tcPr>
            <w:tcW w:w="3005" w:type="dxa"/>
            <w:tcBorders>
              <w:bottom w:val="single" w:sz="4" w:space="0" w:color="F5333F"/>
            </w:tcBorders>
            <w:shd w:val="clear" w:color="auto" w:fill="F5333F"/>
          </w:tcPr>
          <w:p w14:paraId="6432E39A" w14:textId="5F152E7E" w:rsidR="000D011B" w:rsidRPr="00DB2ABE" w:rsidRDefault="000D011B" w:rsidP="00DB2ABE">
            <w:pPr>
              <w:jc w:val="both"/>
              <w:rPr>
                <w:rFonts w:ascii="Arial" w:hAnsi="Arial" w:cs="Arial"/>
                <w:b/>
                <w:bCs/>
                <w:color w:val="FFFFFF" w:themeColor="background1"/>
                <w:sz w:val="19"/>
                <w:szCs w:val="19"/>
              </w:rPr>
            </w:pPr>
            <w:r w:rsidRPr="00DB2ABE">
              <w:rPr>
                <w:rFonts w:ascii="Arial" w:hAnsi="Arial" w:cs="Arial"/>
                <w:b/>
                <w:bCs/>
                <w:color w:val="FFFFFF" w:themeColor="background1"/>
                <w:sz w:val="19"/>
                <w:szCs w:val="19"/>
              </w:rPr>
              <w:t>Value &amp; Unit</w:t>
            </w:r>
          </w:p>
        </w:tc>
        <w:tc>
          <w:tcPr>
            <w:tcW w:w="3005" w:type="dxa"/>
            <w:tcBorders>
              <w:bottom w:val="single" w:sz="4" w:space="0" w:color="F5333F"/>
            </w:tcBorders>
            <w:shd w:val="clear" w:color="auto" w:fill="F5333F"/>
          </w:tcPr>
          <w:p w14:paraId="1D725C13" w14:textId="0D22EDDA" w:rsidR="000D011B" w:rsidRPr="00DB2ABE" w:rsidRDefault="000D011B" w:rsidP="00DB2ABE">
            <w:pPr>
              <w:jc w:val="both"/>
              <w:rPr>
                <w:rFonts w:ascii="Arial" w:hAnsi="Arial" w:cs="Arial"/>
                <w:b/>
                <w:bCs/>
                <w:color w:val="FFFFFF" w:themeColor="background1"/>
                <w:sz w:val="19"/>
                <w:szCs w:val="19"/>
              </w:rPr>
            </w:pPr>
            <w:r w:rsidRPr="00DB2ABE">
              <w:rPr>
                <w:rFonts w:ascii="Arial" w:hAnsi="Arial" w:cs="Arial"/>
                <w:b/>
                <w:bCs/>
                <w:color w:val="FFFFFF" w:themeColor="background1"/>
                <w:sz w:val="19"/>
                <w:szCs w:val="19"/>
              </w:rPr>
              <w:t>Notes</w:t>
            </w:r>
          </w:p>
        </w:tc>
      </w:tr>
      <w:tr w:rsidR="000D011B" w:rsidRPr="000C7BBB" w14:paraId="6840AB5F" w14:textId="77777777" w:rsidTr="00DB2ABE">
        <w:tc>
          <w:tcPr>
            <w:tcW w:w="3006" w:type="dxa"/>
            <w:tcBorders>
              <w:top w:val="single" w:sz="4" w:space="0" w:color="F5333F"/>
              <w:left w:val="single" w:sz="4" w:space="0" w:color="F5333F"/>
              <w:bottom w:val="single" w:sz="4" w:space="0" w:color="F5333F"/>
              <w:right w:val="single" w:sz="4" w:space="0" w:color="F5333F"/>
            </w:tcBorders>
          </w:tcPr>
          <w:p w14:paraId="5E888560" w14:textId="60857027" w:rsidR="000D011B" w:rsidRPr="000C7BBB" w:rsidRDefault="000D011B" w:rsidP="00DB2ABE">
            <w:pPr>
              <w:jc w:val="both"/>
              <w:rPr>
                <w:rFonts w:ascii="Arial" w:hAnsi="Arial" w:cs="Arial"/>
                <w:sz w:val="19"/>
                <w:szCs w:val="19"/>
              </w:rPr>
            </w:pPr>
            <w:r w:rsidRPr="000C7BBB">
              <w:rPr>
                <w:rFonts w:ascii="Arial" w:hAnsi="Arial" w:cs="Arial"/>
                <w:sz w:val="19"/>
                <w:szCs w:val="19"/>
              </w:rPr>
              <w:t>Duration of programme</w:t>
            </w:r>
          </w:p>
        </w:tc>
        <w:tc>
          <w:tcPr>
            <w:tcW w:w="3005" w:type="dxa"/>
            <w:tcBorders>
              <w:top w:val="single" w:sz="4" w:space="0" w:color="F5333F"/>
              <w:left w:val="single" w:sz="4" w:space="0" w:color="F5333F"/>
              <w:bottom w:val="single" w:sz="4" w:space="0" w:color="F5333F"/>
              <w:right w:val="single" w:sz="4" w:space="0" w:color="F5333F"/>
            </w:tcBorders>
          </w:tcPr>
          <w:p w14:paraId="36719402" w14:textId="2BE555BE" w:rsidR="000D011B" w:rsidRPr="000C7BBB" w:rsidRDefault="000D011B" w:rsidP="00DB2ABE">
            <w:pPr>
              <w:jc w:val="both"/>
              <w:rPr>
                <w:rFonts w:ascii="Arial" w:hAnsi="Arial" w:cs="Arial"/>
                <w:sz w:val="19"/>
                <w:szCs w:val="19"/>
              </w:rPr>
            </w:pPr>
            <w:r w:rsidRPr="000C7BBB">
              <w:rPr>
                <w:rFonts w:ascii="Arial" w:hAnsi="Arial" w:cs="Arial"/>
                <w:sz w:val="19"/>
                <w:szCs w:val="19"/>
              </w:rPr>
              <w:t>18 months</w:t>
            </w:r>
          </w:p>
        </w:tc>
        <w:tc>
          <w:tcPr>
            <w:tcW w:w="3005" w:type="dxa"/>
            <w:tcBorders>
              <w:top w:val="single" w:sz="4" w:space="0" w:color="F5333F"/>
              <w:left w:val="single" w:sz="4" w:space="0" w:color="F5333F"/>
              <w:bottom w:val="single" w:sz="4" w:space="0" w:color="F5333F"/>
              <w:right w:val="single" w:sz="4" w:space="0" w:color="F5333F"/>
            </w:tcBorders>
          </w:tcPr>
          <w:p w14:paraId="3E47EC4A" w14:textId="1707E848" w:rsidR="000D011B" w:rsidRPr="000C7BBB" w:rsidRDefault="000D011B" w:rsidP="00DB2ABE">
            <w:pPr>
              <w:jc w:val="both"/>
              <w:rPr>
                <w:rFonts w:ascii="Arial" w:hAnsi="Arial" w:cs="Arial"/>
                <w:sz w:val="19"/>
                <w:szCs w:val="19"/>
              </w:rPr>
            </w:pPr>
            <w:r w:rsidRPr="000C7BBB">
              <w:rPr>
                <w:rFonts w:ascii="Arial" w:hAnsi="Arial" w:cs="Arial"/>
                <w:sz w:val="19"/>
                <w:szCs w:val="19"/>
              </w:rPr>
              <w:t>From Assessment to Evaluation</w:t>
            </w:r>
          </w:p>
        </w:tc>
      </w:tr>
      <w:tr w:rsidR="000D011B" w:rsidRPr="000C7BBB" w14:paraId="2AB18612" w14:textId="4742F7B4" w:rsidTr="00DB2ABE">
        <w:tc>
          <w:tcPr>
            <w:tcW w:w="3006" w:type="dxa"/>
            <w:tcBorders>
              <w:top w:val="single" w:sz="4" w:space="0" w:color="F5333F"/>
              <w:left w:val="single" w:sz="4" w:space="0" w:color="F5333F"/>
              <w:bottom w:val="single" w:sz="4" w:space="0" w:color="F5333F"/>
              <w:right w:val="single" w:sz="4" w:space="0" w:color="F5333F"/>
            </w:tcBorders>
            <w:shd w:val="clear" w:color="auto" w:fill="FEF5F4"/>
          </w:tcPr>
          <w:p w14:paraId="6786BDF7" w14:textId="014BBD25" w:rsidR="000D011B" w:rsidRPr="000C7BBB" w:rsidRDefault="000D011B" w:rsidP="00DB2ABE">
            <w:pPr>
              <w:jc w:val="both"/>
              <w:rPr>
                <w:rFonts w:ascii="Arial" w:hAnsi="Arial" w:cs="Arial"/>
                <w:sz w:val="19"/>
                <w:szCs w:val="19"/>
              </w:rPr>
            </w:pPr>
            <w:r w:rsidRPr="000C7BBB">
              <w:rPr>
                <w:rFonts w:ascii="Arial" w:hAnsi="Arial" w:cs="Arial"/>
                <w:sz w:val="19"/>
                <w:szCs w:val="19"/>
              </w:rPr>
              <w:t>Overall number of households to be supported</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37329601" w14:textId="3B789BEA" w:rsidR="000D011B" w:rsidRPr="000C7BBB" w:rsidRDefault="000D011B" w:rsidP="00DB2ABE">
            <w:pPr>
              <w:jc w:val="both"/>
              <w:rPr>
                <w:rFonts w:ascii="Arial" w:hAnsi="Arial" w:cs="Arial"/>
                <w:sz w:val="19"/>
                <w:szCs w:val="19"/>
              </w:rPr>
            </w:pPr>
            <w:r w:rsidRPr="000C7BBB">
              <w:rPr>
                <w:rFonts w:ascii="Arial" w:hAnsi="Arial" w:cs="Arial"/>
                <w:sz w:val="19"/>
                <w:szCs w:val="19"/>
              </w:rPr>
              <w:t>500 households</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6F259412" w14:textId="415A7245" w:rsidR="000D011B" w:rsidRPr="000C7BBB" w:rsidRDefault="000D011B" w:rsidP="00DB2ABE">
            <w:pPr>
              <w:jc w:val="both"/>
              <w:rPr>
                <w:rFonts w:ascii="Arial" w:hAnsi="Arial" w:cs="Arial"/>
                <w:sz w:val="19"/>
                <w:szCs w:val="19"/>
              </w:rPr>
            </w:pPr>
            <w:r w:rsidRPr="000C7BBB">
              <w:rPr>
                <w:rFonts w:ascii="Arial" w:hAnsi="Arial" w:cs="Arial"/>
                <w:sz w:val="19"/>
                <w:szCs w:val="19"/>
              </w:rPr>
              <w:t>Enrolled over 6 months of the programme.</w:t>
            </w:r>
          </w:p>
        </w:tc>
      </w:tr>
      <w:tr w:rsidR="00D14776" w:rsidRPr="000C7BBB" w14:paraId="68676237" w14:textId="77777777" w:rsidTr="00DB2ABE">
        <w:tc>
          <w:tcPr>
            <w:tcW w:w="3006" w:type="dxa"/>
            <w:tcBorders>
              <w:top w:val="single" w:sz="4" w:space="0" w:color="F5333F"/>
              <w:left w:val="single" w:sz="4" w:space="0" w:color="F5333F"/>
              <w:bottom w:val="single" w:sz="4" w:space="0" w:color="F5333F"/>
              <w:right w:val="single" w:sz="4" w:space="0" w:color="F5333F"/>
            </w:tcBorders>
          </w:tcPr>
          <w:p w14:paraId="04A4D8DE" w14:textId="05934ADD" w:rsidR="00D14776" w:rsidRPr="000C7BBB" w:rsidRDefault="00D14776" w:rsidP="00DB2ABE">
            <w:pPr>
              <w:jc w:val="both"/>
              <w:rPr>
                <w:rFonts w:ascii="Arial" w:hAnsi="Arial" w:cs="Arial"/>
                <w:sz w:val="19"/>
                <w:szCs w:val="19"/>
              </w:rPr>
            </w:pPr>
            <w:r w:rsidRPr="000C7BBB">
              <w:rPr>
                <w:rFonts w:ascii="Arial" w:hAnsi="Arial" w:cs="Arial"/>
                <w:sz w:val="19"/>
                <w:szCs w:val="19"/>
              </w:rPr>
              <w:t>Rental payment supported period</w:t>
            </w:r>
          </w:p>
        </w:tc>
        <w:tc>
          <w:tcPr>
            <w:tcW w:w="3005" w:type="dxa"/>
            <w:tcBorders>
              <w:top w:val="single" w:sz="4" w:space="0" w:color="F5333F"/>
              <w:left w:val="single" w:sz="4" w:space="0" w:color="F5333F"/>
              <w:bottom w:val="single" w:sz="4" w:space="0" w:color="F5333F"/>
              <w:right w:val="single" w:sz="4" w:space="0" w:color="F5333F"/>
            </w:tcBorders>
          </w:tcPr>
          <w:p w14:paraId="43206FF9" w14:textId="00341BFD" w:rsidR="00D14776" w:rsidRPr="000C7BBB" w:rsidRDefault="00D14776" w:rsidP="00DB2ABE">
            <w:pPr>
              <w:jc w:val="both"/>
              <w:rPr>
                <w:rFonts w:ascii="Arial" w:hAnsi="Arial" w:cs="Arial"/>
                <w:sz w:val="19"/>
                <w:szCs w:val="19"/>
              </w:rPr>
            </w:pPr>
            <w:r w:rsidRPr="000C7BBB">
              <w:rPr>
                <w:rFonts w:ascii="Arial" w:hAnsi="Arial" w:cs="Arial"/>
                <w:sz w:val="19"/>
                <w:szCs w:val="19"/>
              </w:rPr>
              <w:t xml:space="preserve">6 months, for 10% of </w:t>
            </w:r>
            <w:r w:rsidR="0037318F" w:rsidRPr="000C7BBB">
              <w:rPr>
                <w:rFonts w:ascii="Arial" w:hAnsi="Arial" w:cs="Arial"/>
                <w:sz w:val="19"/>
                <w:szCs w:val="19"/>
              </w:rPr>
              <w:t xml:space="preserve">most vulnerable </w:t>
            </w:r>
            <w:r w:rsidRPr="000C7BBB">
              <w:rPr>
                <w:rFonts w:ascii="Arial" w:hAnsi="Arial" w:cs="Arial"/>
                <w:sz w:val="19"/>
                <w:szCs w:val="19"/>
              </w:rPr>
              <w:t>households they will be supported for a further 3 months.</w:t>
            </w:r>
          </w:p>
        </w:tc>
        <w:tc>
          <w:tcPr>
            <w:tcW w:w="3005" w:type="dxa"/>
            <w:tcBorders>
              <w:top w:val="single" w:sz="4" w:space="0" w:color="F5333F"/>
              <w:left w:val="single" w:sz="4" w:space="0" w:color="F5333F"/>
              <w:bottom w:val="single" w:sz="4" w:space="0" w:color="F5333F"/>
              <w:right w:val="single" w:sz="4" w:space="0" w:color="F5333F"/>
            </w:tcBorders>
          </w:tcPr>
          <w:p w14:paraId="4E748D8E" w14:textId="65EB0621" w:rsidR="00D14776" w:rsidRPr="000C7BBB" w:rsidRDefault="00D14776" w:rsidP="00DB2ABE">
            <w:pPr>
              <w:jc w:val="both"/>
              <w:rPr>
                <w:rFonts w:ascii="Arial" w:hAnsi="Arial" w:cs="Arial"/>
                <w:sz w:val="19"/>
                <w:szCs w:val="19"/>
              </w:rPr>
            </w:pPr>
            <w:r w:rsidRPr="000C7BBB">
              <w:rPr>
                <w:rFonts w:ascii="Arial" w:hAnsi="Arial" w:cs="Arial"/>
                <w:sz w:val="19"/>
                <w:szCs w:val="19"/>
              </w:rPr>
              <w:t>However, note that some households may exit programme early if they return / move on etc.</w:t>
            </w:r>
          </w:p>
        </w:tc>
      </w:tr>
      <w:tr w:rsidR="000D011B" w:rsidRPr="000C7BBB" w14:paraId="1E37D48B" w14:textId="77777777" w:rsidTr="00DB2ABE">
        <w:tc>
          <w:tcPr>
            <w:tcW w:w="3006" w:type="dxa"/>
            <w:tcBorders>
              <w:top w:val="single" w:sz="4" w:space="0" w:color="F5333F"/>
              <w:left w:val="single" w:sz="4" w:space="0" w:color="F5333F"/>
              <w:bottom w:val="single" w:sz="4" w:space="0" w:color="F5333F"/>
              <w:right w:val="single" w:sz="4" w:space="0" w:color="F5333F"/>
            </w:tcBorders>
            <w:shd w:val="clear" w:color="auto" w:fill="FEF5F4"/>
          </w:tcPr>
          <w:p w14:paraId="259B7E6F" w14:textId="1C866A79" w:rsidR="000D011B" w:rsidRPr="000C7BBB" w:rsidRDefault="000D011B" w:rsidP="00DB2ABE">
            <w:pPr>
              <w:jc w:val="both"/>
              <w:rPr>
                <w:rFonts w:ascii="Arial" w:hAnsi="Arial" w:cs="Arial"/>
                <w:sz w:val="19"/>
                <w:szCs w:val="19"/>
              </w:rPr>
            </w:pPr>
            <w:r w:rsidRPr="000C7BBB">
              <w:rPr>
                <w:rFonts w:ascii="Arial" w:hAnsi="Arial" w:cs="Arial"/>
                <w:sz w:val="19"/>
                <w:szCs w:val="19"/>
              </w:rPr>
              <w:t>Payment to</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594E2BC2" w14:textId="7F8F7D69" w:rsidR="000D011B" w:rsidRPr="000C7BBB" w:rsidRDefault="000D011B" w:rsidP="00DB2ABE">
            <w:pPr>
              <w:jc w:val="both"/>
              <w:rPr>
                <w:rFonts w:ascii="Arial" w:hAnsi="Arial" w:cs="Arial"/>
                <w:sz w:val="19"/>
                <w:szCs w:val="19"/>
              </w:rPr>
            </w:pPr>
            <w:r w:rsidRPr="000C7BBB">
              <w:rPr>
                <w:rFonts w:ascii="Arial" w:hAnsi="Arial" w:cs="Arial"/>
                <w:sz w:val="19"/>
                <w:szCs w:val="19"/>
              </w:rPr>
              <w:t>Target (tenant household)</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26F19D9A" w14:textId="77777777" w:rsidR="000D011B" w:rsidRPr="000C7BBB" w:rsidRDefault="000D011B" w:rsidP="00DB2ABE">
            <w:pPr>
              <w:jc w:val="both"/>
              <w:rPr>
                <w:rFonts w:ascii="Arial" w:hAnsi="Arial" w:cs="Arial"/>
                <w:sz w:val="19"/>
                <w:szCs w:val="19"/>
              </w:rPr>
            </w:pPr>
          </w:p>
        </w:tc>
      </w:tr>
      <w:tr w:rsidR="000D011B" w:rsidRPr="000C7BBB" w14:paraId="06DACE26" w14:textId="77777777" w:rsidTr="00DB2ABE">
        <w:tc>
          <w:tcPr>
            <w:tcW w:w="3006" w:type="dxa"/>
            <w:tcBorders>
              <w:top w:val="single" w:sz="4" w:space="0" w:color="F5333F"/>
              <w:left w:val="single" w:sz="4" w:space="0" w:color="F5333F"/>
              <w:bottom w:val="single" w:sz="4" w:space="0" w:color="F5333F"/>
              <w:right w:val="single" w:sz="4" w:space="0" w:color="F5333F"/>
            </w:tcBorders>
          </w:tcPr>
          <w:p w14:paraId="1D9C2DBD" w14:textId="4C03A004" w:rsidR="000D011B" w:rsidRPr="000C7BBB" w:rsidRDefault="000D011B" w:rsidP="00DB2ABE">
            <w:pPr>
              <w:jc w:val="both"/>
              <w:rPr>
                <w:rFonts w:ascii="Arial" w:hAnsi="Arial" w:cs="Arial"/>
                <w:sz w:val="19"/>
                <w:szCs w:val="19"/>
              </w:rPr>
            </w:pPr>
            <w:r w:rsidRPr="000C7BBB">
              <w:rPr>
                <w:rFonts w:ascii="Arial" w:hAnsi="Arial" w:cs="Arial"/>
                <w:sz w:val="19"/>
                <w:szCs w:val="19"/>
              </w:rPr>
              <w:t>Transfer Mechanism</w:t>
            </w:r>
          </w:p>
        </w:tc>
        <w:tc>
          <w:tcPr>
            <w:tcW w:w="3005" w:type="dxa"/>
            <w:tcBorders>
              <w:top w:val="single" w:sz="4" w:space="0" w:color="F5333F"/>
              <w:left w:val="single" w:sz="4" w:space="0" w:color="F5333F"/>
              <w:bottom w:val="single" w:sz="4" w:space="0" w:color="F5333F"/>
              <w:right w:val="single" w:sz="4" w:space="0" w:color="F5333F"/>
            </w:tcBorders>
          </w:tcPr>
          <w:p w14:paraId="0B937279" w14:textId="113A3EAE" w:rsidR="000D011B" w:rsidRPr="000C7BBB" w:rsidRDefault="000D011B" w:rsidP="00DB2ABE">
            <w:pPr>
              <w:jc w:val="both"/>
              <w:rPr>
                <w:rFonts w:ascii="Arial" w:hAnsi="Arial" w:cs="Arial"/>
                <w:sz w:val="19"/>
                <w:szCs w:val="19"/>
              </w:rPr>
            </w:pPr>
            <w:r w:rsidRPr="000C7BBB">
              <w:rPr>
                <w:rFonts w:ascii="Arial" w:hAnsi="Arial" w:cs="Arial"/>
                <w:sz w:val="19"/>
                <w:szCs w:val="19"/>
              </w:rPr>
              <w:t xml:space="preserve">MoneyGram (via. </w:t>
            </w:r>
            <w:proofErr w:type="spellStart"/>
            <w:r w:rsidRPr="000C7BBB">
              <w:rPr>
                <w:rFonts w:ascii="Arial" w:hAnsi="Arial" w:cs="Arial"/>
                <w:sz w:val="19"/>
                <w:szCs w:val="19"/>
              </w:rPr>
              <w:t>RedRose</w:t>
            </w:r>
            <w:proofErr w:type="spellEnd"/>
            <w:r w:rsidRPr="000C7BBB">
              <w:rPr>
                <w:rFonts w:ascii="Arial" w:hAnsi="Arial" w:cs="Arial"/>
                <w:sz w:val="19"/>
                <w:szCs w:val="19"/>
              </w:rPr>
              <w:t>) to Tenant bank accounts (Euro accounts).</w:t>
            </w:r>
          </w:p>
        </w:tc>
        <w:tc>
          <w:tcPr>
            <w:tcW w:w="3005" w:type="dxa"/>
            <w:tcBorders>
              <w:top w:val="single" w:sz="4" w:space="0" w:color="F5333F"/>
              <w:left w:val="single" w:sz="4" w:space="0" w:color="F5333F"/>
              <w:bottom w:val="single" w:sz="4" w:space="0" w:color="F5333F"/>
              <w:right w:val="single" w:sz="4" w:space="0" w:color="F5333F"/>
            </w:tcBorders>
          </w:tcPr>
          <w:p w14:paraId="329B3206" w14:textId="2B25DC85" w:rsidR="000D011B" w:rsidRPr="000C7BBB" w:rsidRDefault="000D011B" w:rsidP="00DB2ABE">
            <w:pPr>
              <w:jc w:val="both"/>
              <w:rPr>
                <w:rFonts w:ascii="Arial" w:hAnsi="Arial" w:cs="Arial"/>
                <w:sz w:val="19"/>
                <w:szCs w:val="19"/>
              </w:rPr>
            </w:pPr>
            <w:r w:rsidRPr="000C7BBB">
              <w:rPr>
                <w:rFonts w:ascii="Arial" w:hAnsi="Arial" w:cs="Arial"/>
                <w:sz w:val="19"/>
                <w:szCs w:val="19"/>
              </w:rPr>
              <w:t xml:space="preserve">Only households with a Euro bank account </w:t>
            </w:r>
            <w:r w:rsidR="00D14776" w:rsidRPr="000C7BBB">
              <w:rPr>
                <w:rFonts w:ascii="Arial" w:hAnsi="Arial" w:cs="Arial"/>
                <w:sz w:val="19"/>
                <w:szCs w:val="19"/>
              </w:rPr>
              <w:t xml:space="preserve">in a local bank </w:t>
            </w:r>
            <w:r w:rsidRPr="000C7BBB">
              <w:rPr>
                <w:rFonts w:ascii="Arial" w:hAnsi="Arial" w:cs="Arial"/>
                <w:sz w:val="19"/>
                <w:szCs w:val="19"/>
              </w:rPr>
              <w:t>will be allowed to enrol on the programme. Those without will be assisted to</w:t>
            </w:r>
            <w:r w:rsidR="00D14776" w:rsidRPr="000C7BBB">
              <w:rPr>
                <w:rFonts w:ascii="Arial" w:hAnsi="Arial" w:cs="Arial"/>
                <w:sz w:val="19"/>
                <w:szCs w:val="19"/>
              </w:rPr>
              <w:t xml:space="preserve"> open Euro bank account in a local bank.</w:t>
            </w:r>
          </w:p>
        </w:tc>
      </w:tr>
      <w:tr w:rsidR="000D011B" w:rsidRPr="000C7BBB" w14:paraId="2566380F" w14:textId="0FAE7505" w:rsidTr="00DB2ABE">
        <w:tc>
          <w:tcPr>
            <w:tcW w:w="3006" w:type="dxa"/>
            <w:tcBorders>
              <w:top w:val="single" w:sz="4" w:space="0" w:color="F5333F"/>
              <w:left w:val="single" w:sz="4" w:space="0" w:color="F5333F"/>
              <w:bottom w:val="single" w:sz="4" w:space="0" w:color="F5333F"/>
              <w:right w:val="single" w:sz="4" w:space="0" w:color="F5333F"/>
            </w:tcBorders>
            <w:shd w:val="clear" w:color="auto" w:fill="FEF5F4"/>
          </w:tcPr>
          <w:p w14:paraId="777134FB" w14:textId="778EAE73" w:rsidR="000D011B" w:rsidRPr="000C7BBB" w:rsidRDefault="000D011B" w:rsidP="00DB2ABE">
            <w:pPr>
              <w:jc w:val="both"/>
              <w:rPr>
                <w:rFonts w:ascii="Arial" w:hAnsi="Arial" w:cs="Arial"/>
                <w:sz w:val="19"/>
                <w:szCs w:val="19"/>
              </w:rPr>
            </w:pPr>
            <w:r w:rsidRPr="000C7BBB">
              <w:rPr>
                <w:rFonts w:ascii="Arial" w:hAnsi="Arial" w:cs="Arial"/>
                <w:sz w:val="19"/>
                <w:szCs w:val="19"/>
              </w:rPr>
              <w:t>Monthly rental payment range</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32D5A408" w14:textId="1439D6F3" w:rsidR="0003251C" w:rsidRPr="000C7BBB" w:rsidRDefault="000D011B" w:rsidP="00DB2ABE">
            <w:pPr>
              <w:jc w:val="both"/>
              <w:rPr>
                <w:rFonts w:ascii="Arial" w:hAnsi="Arial" w:cs="Arial"/>
                <w:sz w:val="19"/>
                <w:szCs w:val="19"/>
              </w:rPr>
            </w:pPr>
            <w:r w:rsidRPr="000C7BBB">
              <w:rPr>
                <w:rFonts w:ascii="Arial" w:hAnsi="Arial" w:cs="Arial"/>
                <w:sz w:val="19"/>
                <w:szCs w:val="19"/>
              </w:rPr>
              <w:t>400 Euro</w:t>
            </w:r>
            <w:r w:rsidR="000F4B24" w:rsidRPr="000C7BBB">
              <w:rPr>
                <w:rFonts w:ascii="Arial" w:hAnsi="Arial" w:cs="Arial"/>
                <w:sz w:val="19"/>
                <w:szCs w:val="19"/>
              </w:rPr>
              <w:t xml:space="preserve"> – </w:t>
            </w:r>
            <w:r w:rsidR="0003251C" w:rsidRPr="000C7BBB">
              <w:rPr>
                <w:rFonts w:ascii="Arial" w:hAnsi="Arial" w:cs="Arial"/>
                <w:sz w:val="19"/>
                <w:szCs w:val="19"/>
              </w:rPr>
              <w:t xml:space="preserve">forecast </w:t>
            </w:r>
            <w:r w:rsidR="000F4B24" w:rsidRPr="000C7BBB">
              <w:rPr>
                <w:rFonts w:ascii="Arial" w:hAnsi="Arial" w:cs="Arial"/>
                <w:sz w:val="19"/>
                <w:szCs w:val="19"/>
              </w:rPr>
              <w:t>33%</w:t>
            </w:r>
            <w:r w:rsidR="0003251C" w:rsidRPr="000C7BBB">
              <w:rPr>
                <w:rFonts w:ascii="Arial" w:hAnsi="Arial" w:cs="Arial"/>
                <w:sz w:val="19"/>
                <w:szCs w:val="19"/>
              </w:rPr>
              <w:t xml:space="preserve"> of households</w:t>
            </w:r>
          </w:p>
          <w:p w14:paraId="4D0A7639" w14:textId="09F7E2F3" w:rsidR="000D011B" w:rsidRPr="000C7BBB" w:rsidRDefault="000D011B" w:rsidP="00DB2ABE">
            <w:pPr>
              <w:jc w:val="both"/>
              <w:rPr>
                <w:rFonts w:ascii="Arial" w:hAnsi="Arial" w:cs="Arial"/>
                <w:sz w:val="19"/>
                <w:szCs w:val="19"/>
              </w:rPr>
            </w:pPr>
            <w:r w:rsidRPr="000C7BBB">
              <w:rPr>
                <w:rFonts w:ascii="Arial" w:hAnsi="Arial" w:cs="Arial"/>
                <w:sz w:val="19"/>
                <w:szCs w:val="19"/>
              </w:rPr>
              <w:t>500 Euro</w:t>
            </w:r>
            <w:r w:rsidR="000F4B24" w:rsidRPr="000C7BBB">
              <w:rPr>
                <w:rFonts w:ascii="Arial" w:hAnsi="Arial" w:cs="Arial"/>
                <w:sz w:val="19"/>
                <w:szCs w:val="19"/>
              </w:rPr>
              <w:t xml:space="preserve"> - 33%</w:t>
            </w:r>
            <w:r w:rsidR="0003251C" w:rsidRPr="000C7BBB">
              <w:rPr>
                <w:rFonts w:ascii="Arial" w:hAnsi="Arial" w:cs="Arial"/>
                <w:sz w:val="19"/>
                <w:szCs w:val="19"/>
              </w:rPr>
              <w:br/>
            </w:r>
            <w:r w:rsidR="000F4B24" w:rsidRPr="000C7BBB">
              <w:rPr>
                <w:rFonts w:ascii="Arial" w:hAnsi="Arial" w:cs="Arial"/>
                <w:sz w:val="19"/>
                <w:szCs w:val="19"/>
              </w:rPr>
              <w:t>60</w:t>
            </w:r>
            <w:r w:rsidRPr="000C7BBB">
              <w:rPr>
                <w:rFonts w:ascii="Arial" w:hAnsi="Arial" w:cs="Arial"/>
                <w:sz w:val="19"/>
                <w:szCs w:val="19"/>
              </w:rPr>
              <w:t>0 Euro</w:t>
            </w:r>
            <w:r w:rsidR="000F4B24" w:rsidRPr="000C7BBB">
              <w:rPr>
                <w:rFonts w:ascii="Arial" w:hAnsi="Arial" w:cs="Arial"/>
                <w:sz w:val="19"/>
                <w:szCs w:val="19"/>
              </w:rPr>
              <w:t xml:space="preserve"> – 33%</w:t>
            </w:r>
            <w:r w:rsidR="0003251C" w:rsidRPr="000C7BBB">
              <w:rPr>
                <w:rFonts w:ascii="Arial" w:hAnsi="Arial" w:cs="Arial"/>
                <w:sz w:val="19"/>
                <w:szCs w:val="19"/>
              </w:rPr>
              <w:t xml:space="preserve"> </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1806ED4C" w14:textId="722D2333" w:rsidR="000D011B" w:rsidRPr="000C7BBB" w:rsidRDefault="0003251C" w:rsidP="00DB2ABE">
            <w:pPr>
              <w:jc w:val="both"/>
              <w:rPr>
                <w:rFonts w:ascii="Arial" w:hAnsi="Arial" w:cs="Arial"/>
                <w:sz w:val="19"/>
                <w:szCs w:val="19"/>
              </w:rPr>
            </w:pPr>
            <w:r w:rsidRPr="000C7BBB">
              <w:rPr>
                <w:rFonts w:ascii="Arial" w:hAnsi="Arial" w:cs="Arial"/>
                <w:sz w:val="19"/>
                <w:szCs w:val="19"/>
              </w:rPr>
              <w:t xml:space="preserve">Value is dependent </w:t>
            </w:r>
            <w:r w:rsidR="000D011B" w:rsidRPr="000C7BBB">
              <w:rPr>
                <w:rFonts w:ascii="Arial" w:hAnsi="Arial" w:cs="Arial"/>
                <w:sz w:val="19"/>
                <w:szCs w:val="19"/>
              </w:rPr>
              <w:t>on household composition.</w:t>
            </w:r>
          </w:p>
          <w:p w14:paraId="32CC0BAC" w14:textId="04C6C106" w:rsidR="000D011B" w:rsidRPr="000C7BBB" w:rsidRDefault="000D011B" w:rsidP="00DB2ABE">
            <w:pPr>
              <w:jc w:val="both"/>
              <w:rPr>
                <w:rFonts w:ascii="Arial" w:hAnsi="Arial" w:cs="Arial"/>
                <w:sz w:val="19"/>
                <w:szCs w:val="19"/>
              </w:rPr>
            </w:pPr>
            <w:r w:rsidRPr="000C7BBB">
              <w:rPr>
                <w:rFonts w:ascii="Arial" w:hAnsi="Arial" w:cs="Arial"/>
                <w:sz w:val="19"/>
                <w:szCs w:val="19"/>
              </w:rPr>
              <w:t xml:space="preserve">Paid at start of tenancy and then at </w:t>
            </w:r>
            <w:proofErr w:type="gramStart"/>
            <w:r w:rsidRPr="000C7BBB">
              <w:rPr>
                <w:rFonts w:ascii="Arial" w:hAnsi="Arial" w:cs="Arial"/>
                <w:sz w:val="19"/>
                <w:szCs w:val="19"/>
              </w:rPr>
              <w:t>one month</w:t>
            </w:r>
            <w:proofErr w:type="gramEnd"/>
            <w:r w:rsidRPr="000C7BBB">
              <w:rPr>
                <w:rFonts w:ascii="Arial" w:hAnsi="Arial" w:cs="Arial"/>
                <w:sz w:val="19"/>
                <w:szCs w:val="19"/>
              </w:rPr>
              <w:t xml:space="preserve"> intervals at the payment date decided by tenancy agreement.</w:t>
            </w:r>
          </w:p>
        </w:tc>
      </w:tr>
      <w:tr w:rsidR="000D011B" w:rsidRPr="000C7BBB" w14:paraId="10D20BF3" w14:textId="58E88A91" w:rsidTr="00DB2ABE">
        <w:tc>
          <w:tcPr>
            <w:tcW w:w="3006" w:type="dxa"/>
            <w:tcBorders>
              <w:top w:val="single" w:sz="4" w:space="0" w:color="F5333F"/>
              <w:left w:val="single" w:sz="4" w:space="0" w:color="F5333F"/>
              <w:bottom w:val="single" w:sz="4" w:space="0" w:color="F5333F"/>
              <w:right w:val="single" w:sz="4" w:space="0" w:color="F5333F"/>
            </w:tcBorders>
          </w:tcPr>
          <w:p w14:paraId="5D8158A3" w14:textId="7768504C" w:rsidR="000D011B" w:rsidRPr="000C7BBB" w:rsidRDefault="000D011B" w:rsidP="00DB2ABE">
            <w:pPr>
              <w:jc w:val="both"/>
              <w:rPr>
                <w:rFonts w:ascii="Arial" w:hAnsi="Arial" w:cs="Arial"/>
                <w:sz w:val="19"/>
                <w:szCs w:val="19"/>
              </w:rPr>
            </w:pPr>
            <w:r w:rsidRPr="000C7BBB">
              <w:rPr>
                <w:rFonts w:ascii="Arial" w:hAnsi="Arial" w:cs="Arial"/>
                <w:sz w:val="19"/>
                <w:szCs w:val="19"/>
              </w:rPr>
              <w:t>Deposit payment</w:t>
            </w:r>
          </w:p>
        </w:tc>
        <w:tc>
          <w:tcPr>
            <w:tcW w:w="3005" w:type="dxa"/>
            <w:tcBorders>
              <w:top w:val="single" w:sz="4" w:space="0" w:color="F5333F"/>
              <w:left w:val="single" w:sz="4" w:space="0" w:color="F5333F"/>
              <w:bottom w:val="single" w:sz="4" w:space="0" w:color="F5333F"/>
              <w:right w:val="single" w:sz="4" w:space="0" w:color="F5333F"/>
            </w:tcBorders>
          </w:tcPr>
          <w:p w14:paraId="4632401A" w14:textId="72CA617E" w:rsidR="000D011B" w:rsidRPr="000C7BBB" w:rsidRDefault="000D011B" w:rsidP="00DB2ABE">
            <w:pPr>
              <w:jc w:val="both"/>
              <w:rPr>
                <w:rFonts w:ascii="Arial" w:hAnsi="Arial" w:cs="Arial"/>
                <w:sz w:val="19"/>
                <w:szCs w:val="19"/>
              </w:rPr>
            </w:pPr>
            <w:r w:rsidRPr="000C7BBB">
              <w:rPr>
                <w:rFonts w:ascii="Arial" w:hAnsi="Arial" w:cs="Arial"/>
                <w:sz w:val="19"/>
                <w:szCs w:val="19"/>
              </w:rPr>
              <w:t>1 month of rent equivalent</w:t>
            </w:r>
          </w:p>
        </w:tc>
        <w:tc>
          <w:tcPr>
            <w:tcW w:w="3005" w:type="dxa"/>
            <w:tcBorders>
              <w:top w:val="single" w:sz="4" w:space="0" w:color="F5333F"/>
              <w:left w:val="single" w:sz="4" w:space="0" w:color="F5333F"/>
              <w:bottom w:val="single" w:sz="4" w:space="0" w:color="F5333F"/>
              <w:right w:val="single" w:sz="4" w:space="0" w:color="F5333F"/>
            </w:tcBorders>
          </w:tcPr>
          <w:p w14:paraId="6C18C8A5" w14:textId="74BBA0BD" w:rsidR="000D011B" w:rsidRPr="000C7BBB" w:rsidRDefault="000D011B" w:rsidP="00DB2ABE">
            <w:pPr>
              <w:jc w:val="both"/>
              <w:rPr>
                <w:rFonts w:ascii="Arial" w:hAnsi="Arial" w:cs="Arial"/>
                <w:sz w:val="19"/>
                <w:szCs w:val="19"/>
              </w:rPr>
            </w:pPr>
            <w:r w:rsidRPr="000C7BBB">
              <w:rPr>
                <w:rFonts w:ascii="Arial" w:hAnsi="Arial" w:cs="Arial"/>
                <w:sz w:val="19"/>
                <w:szCs w:val="19"/>
              </w:rPr>
              <w:t>Paid at start of tenancy</w:t>
            </w:r>
            <w:r w:rsidR="00D14776" w:rsidRPr="000C7BBB">
              <w:rPr>
                <w:rFonts w:ascii="Arial" w:hAnsi="Arial" w:cs="Arial"/>
                <w:sz w:val="19"/>
                <w:szCs w:val="19"/>
              </w:rPr>
              <w:t xml:space="preserve"> only. Will not be returned to RC but will be returned to tenant.</w:t>
            </w:r>
          </w:p>
        </w:tc>
      </w:tr>
      <w:tr w:rsidR="00D14776" w:rsidRPr="000C7BBB" w14:paraId="5850F9F2" w14:textId="77777777" w:rsidTr="00DB2ABE">
        <w:tc>
          <w:tcPr>
            <w:tcW w:w="3006" w:type="dxa"/>
            <w:tcBorders>
              <w:top w:val="single" w:sz="4" w:space="0" w:color="F5333F"/>
              <w:left w:val="single" w:sz="4" w:space="0" w:color="F5333F"/>
              <w:bottom w:val="single" w:sz="4" w:space="0" w:color="F5333F"/>
              <w:right w:val="single" w:sz="4" w:space="0" w:color="F5333F"/>
            </w:tcBorders>
            <w:shd w:val="clear" w:color="auto" w:fill="FEF5F4"/>
          </w:tcPr>
          <w:p w14:paraId="4A6045EF" w14:textId="0D287166" w:rsidR="00D14776" w:rsidRPr="000C7BBB" w:rsidRDefault="00D14776" w:rsidP="00DB2ABE">
            <w:pPr>
              <w:jc w:val="both"/>
              <w:rPr>
                <w:rFonts w:ascii="Arial" w:hAnsi="Arial" w:cs="Arial"/>
                <w:sz w:val="19"/>
                <w:szCs w:val="19"/>
              </w:rPr>
            </w:pPr>
            <w:r w:rsidRPr="000C7BBB">
              <w:rPr>
                <w:rFonts w:ascii="Arial" w:hAnsi="Arial" w:cs="Arial"/>
                <w:sz w:val="19"/>
                <w:szCs w:val="19"/>
              </w:rPr>
              <w:t>Move-in grant</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6A67C21B" w14:textId="562A0B18" w:rsidR="00D14776" w:rsidRPr="000C7BBB" w:rsidRDefault="00D14776" w:rsidP="00DB2ABE">
            <w:pPr>
              <w:jc w:val="both"/>
              <w:rPr>
                <w:rFonts w:ascii="Arial" w:hAnsi="Arial" w:cs="Arial"/>
                <w:sz w:val="19"/>
                <w:szCs w:val="19"/>
              </w:rPr>
            </w:pPr>
            <w:r w:rsidRPr="000C7BBB">
              <w:rPr>
                <w:rFonts w:ascii="Arial" w:hAnsi="Arial" w:cs="Arial"/>
                <w:sz w:val="19"/>
                <w:szCs w:val="19"/>
              </w:rPr>
              <w:t>200 Euro</w:t>
            </w:r>
          </w:p>
        </w:tc>
        <w:tc>
          <w:tcPr>
            <w:tcW w:w="3005" w:type="dxa"/>
            <w:tcBorders>
              <w:top w:val="single" w:sz="4" w:space="0" w:color="F5333F"/>
              <w:left w:val="single" w:sz="4" w:space="0" w:color="F5333F"/>
              <w:bottom w:val="single" w:sz="4" w:space="0" w:color="F5333F"/>
              <w:right w:val="single" w:sz="4" w:space="0" w:color="F5333F"/>
            </w:tcBorders>
            <w:shd w:val="clear" w:color="auto" w:fill="FEF5F4"/>
          </w:tcPr>
          <w:p w14:paraId="298E6F4F" w14:textId="0C1B5525" w:rsidR="00D14776" w:rsidRPr="000C7BBB" w:rsidRDefault="00D14776" w:rsidP="00DB2ABE">
            <w:pPr>
              <w:jc w:val="both"/>
              <w:rPr>
                <w:rFonts w:ascii="Arial" w:hAnsi="Arial" w:cs="Arial"/>
                <w:sz w:val="19"/>
                <w:szCs w:val="19"/>
              </w:rPr>
            </w:pPr>
            <w:r w:rsidRPr="000C7BBB">
              <w:rPr>
                <w:rFonts w:ascii="Arial" w:hAnsi="Arial" w:cs="Arial"/>
                <w:sz w:val="19"/>
                <w:szCs w:val="19"/>
              </w:rPr>
              <w:t>Paid at start of tenancy only</w:t>
            </w:r>
          </w:p>
        </w:tc>
      </w:tr>
      <w:tr w:rsidR="0003251C" w:rsidRPr="000C7BBB" w14:paraId="1E33BC7E" w14:textId="77777777" w:rsidTr="00DB2ABE">
        <w:tc>
          <w:tcPr>
            <w:tcW w:w="3006" w:type="dxa"/>
            <w:tcBorders>
              <w:top w:val="single" w:sz="4" w:space="0" w:color="F5333F"/>
              <w:left w:val="single" w:sz="4" w:space="0" w:color="F5333F"/>
              <w:bottom w:val="single" w:sz="4" w:space="0" w:color="F5333F"/>
              <w:right w:val="single" w:sz="4" w:space="0" w:color="F5333F"/>
            </w:tcBorders>
          </w:tcPr>
          <w:p w14:paraId="084081ED" w14:textId="45B5F740" w:rsidR="0003251C" w:rsidRPr="000C7BBB" w:rsidRDefault="0003251C" w:rsidP="00DB2ABE">
            <w:pPr>
              <w:jc w:val="both"/>
              <w:rPr>
                <w:rFonts w:ascii="Arial" w:hAnsi="Arial" w:cs="Arial"/>
                <w:sz w:val="19"/>
                <w:szCs w:val="19"/>
              </w:rPr>
            </w:pPr>
            <w:r w:rsidRPr="000C7BBB">
              <w:rPr>
                <w:rFonts w:ascii="Arial" w:hAnsi="Arial" w:cs="Arial"/>
                <w:sz w:val="19"/>
                <w:szCs w:val="19"/>
              </w:rPr>
              <w:t>Budget allowance for age and disability adaption</w:t>
            </w:r>
          </w:p>
        </w:tc>
        <w:tc>
          <w:tcPr>
            <w:tcW w:w="3005" w:type="dxa"/>
            <w:tcBorders>
              <w:top w:val="single" w:sz="4" w:space="0" w:color="F5333F"/>
              <w:left w:val="single" w:sz="4" w:space="0" w:color="F5333F"/>
              <w:bottom w:val="single" w:sz="4" w:space="0" w:color="F5333F"/>
              <w:right w:val="single" w:sz="4" w:space="0" w:color="F5333F"/>
            </w:tcBorders>
          </w:tcPr>
          <w:p w14:paraId="2DC50A29" w14:textId="15BF1058" w:rsidR="0003251C" w:rsidRPr="000C7BBB" w:rsidRDefault="0003251C" w:rsidP="00DB2ABE">
            <w:pPr>
              <w:jc w:val="both"/>
              <w:rPr>
                <w:rFonts w:ascii="Arial" w:hAnsi="Arial" w:cs="Arial"/>
                <w:sz w:val="19"/>
                <w:szCs w:val="19"/>
              </w:rPr>
            </w:pPr>
            <w:r w:rsidRPr="000C7BBB">
              <w:rPr>
                <w:rFonts w:ascii="Arial" w:hAnsi="Arial" w:cs="Arial"/>
                <w:sz w:val="19"/>
                <w:szCs w:val="19"/>
              </w:rPr>
              <w:t>500 Euro for 15% of Households</w:t>
            </w:r>
          </w:p>
        </w:tc>
        <w:tc>
          <w:tcPr>
            <w:tcW w:w="3005" w:type="dxa"/>
            <w:tcBorders>
              <w:top w:val="single" w:sz="4" w:space="0" w:color="F5333F"/>
              <w:left w:val="single" w:sz="4" w:space="0" w:color="F5333F"/>
              <w:bottom w:val="single" w:sz="4" w:space="0" w:color="F5333F"/>
              <w:right w:val="single" w:sz="4" w:space="0" w:color="F5333F"/>
            </w:tcBorders>
          </w:tcPr>
          <w:p w14:paraId="7B238F0C" w14:textId="77777777" w:rsidR="0003251C" w:rsidRPr="000C7BBB" w:rsidRDefault="0003251C" w:rsidP="00DB2ABE">
            <w:pPr>
              <w:jc w:val="both"/>
              <w:rPr>
                <w:rFonts w:ascii="Arial" w:hAnsi="Arial" w:cs="Arial"/>
                <w:sz w:val="19"/>
                <w:szCs w:val="19"/>
              </w:rPr>
            </w:pPr>
          </w:p>
        </w:tc>
      </w:tr>
    </w:tbl>
    <w:p w14:paraId="1E4B9D84" w14:textId="77777777" w:rsidR="000D011B" w:rsidRPr="000C7BBB" w:rsidRDefault="000D011B" w:rsidP="00DB2ABE">
      <w:pPr>
        <w:jc w:val="both"/>
        <w:rPr>
          <w:rFonts w:ascii="Arial" w:hAnsi="Arial" w:cs="Arial"/>
          <w:sz w:val="19"/>
          <w:szCs w:val="19"/>
        </w:rPr>
      </w:pPr>
    </w:p>
    <w:p w14:paraId="0E11C963" w14:textId="3CE77879" w:rsidR="00405E6E" w:rsidRPr="000C7BBB" w:rsidRDefault="00D14776" w:rsidP="00DB2ABE">
      <w:pPr>
        <w:jc w:val="both"/>
        <w:rPr>
          <w:rFonts w:ascii="Arial" w:hAnsi="Arial" w:cs="Arial"/>
          <w:sz w:val="19"/>
          <w:szCs w:val="19"/>
        </w:rPr>
      </w:pPr>
      <w:r w:rsidRPr="000C7BBB">
        <w:rPr>
          <w:rFonts w:ascii="Arial" w:hAnsi="Arial" w:cs="Arial"/>
          <w:sz w:val="19"/>
          <w:szCs w:val="19"/>
        </w:rPr>
        <w:t xml:space="preserve">It is also useful to forecast </w:t>
      </w:r>
      <w:r w:rsidR="00BA7951" w:rsidRPr="000C7BBB">
        <w:rPr>
          <w:rFonts w:ascii="Arial" w:hAnsi="Arial" w:cs="Arial"/>
          <w:sz w:val="19"/>
          <w:szCs w:val="19"/>
        </w:rPr>
        <w:t>the number of payments and total transfer value to support the discussions with CVA and Finance colleagues.</w:t>
      </w:r>
      <w:r w:rsidRPr="000C7BBB">
        <w:rPr>
          <w:rFonts w:ascii="Arial" w:hAnsi="Arial" w:cs="Arial"/>
          <w:sz w:val="19"/>
          <w:szCs w:val="19"/>
        </w:rPr>
        <w:t xml:space="preserve"> </w:t>
      </w:r>
    </w:p>
    <w:p w14:paraId="6AAB60BE" w14:textId="533833BB" w:rsidR="000B7F02" w:rsidRPr="000C7BBB" w:rsidRDefault="000B7F02" w:rsidP="00DB2ABE">
      <w:pPr>
        <w:jc w:val="both"/>
        <w:rPr>
          <w:rFonts w:ascii="Arial" w:hAnsi="Arial" w:cs="Arial"/>
          <w:sz w:val="19"/>
          <w:szCs w:val="19"/>
        </w:rPr>
      </w:pPr>
      <w:r w:rsidRPr="000C7BBB">
        <w:rPr>
          <w:rFonts w:ascii="Arial" w:hAnsi="Arial" w:cs="Arial"/>
          <w:noProof/>
          <w:sz w:val="19"/>
          <w:szCs w:val="19"/>
        </w:rPr>
        <w:drawing>
          <wp:inline distT="0" distB="0" distL="0" distR="0" wp14:anchorId="045A863E" wp14:editId="37E58846">
            <wp:extent cx="5731510" cy="2341880"/>
            <wp:effectExtent l="0" t="0" r="2540" b="1270"/>
            <wp:docPr id="936506436" name="Picture 93650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341880"/>
                    </a:xfrm>
                    <a:prstGeom prst="rect">
                      <a:avLst/>
                    </a:prstGeom>
                    <a:noFill/>
                    <a:ln>
                      <a:noFill/>
                    </a:ln>
                  </pic:spPr>
                </pic:pic>
              </a:graphicData>
            </a:graphic>
          </wp:inline>
        </w:drawing>
      </w:r>
    </w:p>
    <w:p w14:paraId="57B40A92" w14:textId="6855B59F" w:rsidR="00AB7EE5" w:rsidRPr="000C7BBB" w:rsidRDefault="00AB7EE5" w:rsidP="00DB2ABE">
      <w:pPr>
        <w:jc w:val="both"/>
        <w:rPr>
          <w:rFonts w:ascii="Arial" w:hAnsi="Arial" w:cs="Arial"/>
          <w:sz w:val="19"/>
          <w:szCs w:val="19"/>
        </w:rPr>
      </w:pPr>
      <w:r w:rsidRPr="000C7BBB">
        <w:rPr>
          <w:rFonts w:ascii="Arial" w:hAnsi="Arial" w:cs="Arial"/>
          <w:sz w:val="19"/>
          <w:szCs w:val="19"/>
        </w:rPr>
        <w:t>See the examples in the rental assistance toolkit.</w:t>
      </w:r>
    </w:p>
    <w:p w14:paraId="5797233E" w14:textId="5D4C6B0F" w:rsidR="00BA7951" w:rsidRPr="000C7BBB" w:rsidRDefault="00BA7951" w:rsidP="00DB2ABE">
      <w:pPr>
        <w:jc w:val="both"/>
        <w:rPr>
          <w:rFonts w:ascii="Arial" w:hAnsi="Arial" w:cs="Arial"/>
          <w:sz w:val="19"/>
          <w:szCs w:val="19"/>
        </w:rPr>
      </w:pPr>
      <w:r w:rsidRPr="000C7BBB">
        <w:rPr>
          <w:rFonts w:ascii="Arial" w:hAnsi="Arial" w:cs="Arial"/>
          <w:sz w:val="19"/>
          <w:szCs w:val="19"/>
        </w:rPr>
        <w:lastRenderedPageBreak/>
        <w:t xml:space="preserve">Note that the </w:t>
      </w:r>
      <w:hyperlink r:id="rId13" w:history="1">
        <w:r w:rsidRPr="000C7BBB">
          <w:rPr>
            <w:rStyle w:val="Hyperlink"/>
            <w:rFonts w:ascii="Arial" w:hAnsi="Arial" w:cs="Arial"/>
            <w:sz w:val="19"/>
            <w:szCs w:val="19"/>
          </w:rPr>
          <w:t>Red Cross Movement Cash in Emergencies Toolkit</w:t>
        </w:r>
      </w:hyperlink>
      <w:r w:rsidRPr="000C7BBB">
        <w:rPr>
          <w:rFonts w:ascii="Arial" w:hAnsi="Arial" w:cs="Arial"/>
          <w:sz w:val="19"/>
          <w:szCs w:val="19"/>
        </w:rPr>
        <w:t xml:space="preserve"> uses a </w:t>
      </w:r>
      <w:hyperlink r:id="rId14" w:history="1">
        <w:r w:rsidRPr="000C7BBB">
          <w:rPr>
            <w:rStyle w:val="Hyperlink"/>
            <w:rFonts w:ascii="Arial" w:hAnsi="Arial" w:cs="Arial"/>
            <w:sz w:val="19"/>
            <w:szCs w:val="19"/>
          </w:rPr>
          <w:t>distribution plan</w:t>
        </w:r>
      </w:hyperlink>
      <w:r w:rsidRPr="000C7BBB">
        <w:rPr>
          <w:rFonts w:ascii="Arial" w:hAnsi="Arial" w:cs="Arial"/>
          <w:sz w:val="19"/>
          <w:szCs w:val="19"/>
        </w:rPr>
        <w:t xml:space="preserve"> and </w:t>
      </w:r>
      <w:hyperlink r:id="rId15" w:history="1">
        <w:r w:rsidRPr="000C7BBB">
          <w:rPr>
            <w:rStyle w:val="Hyperlink"/>
            <w:rFonts w:ascii="Arial" w:hAnsi="Arial" w:cs="Arial"/>
            <w:sz w:val="19"/>
            <w:szCs w:val="19"/>
          </w:rPr>
          <w:t>encashment plan</w:t>
        </w:r>
      </w:hyperlink>
      <w:r w:rsidRPr="000C7BBB">
        <w:rPr>
          <w:rFonts w:ascii="Arial" w:hAnsi="Arial" w:cs="Arial"/>
          <w:sz w:val="19"/>
          <w:szCs w:val="19"/>
        </w:rPr>
        <w:t xml:space="preserve">. These can be completed where the transfer mechanism is via. pre-pay card or cash-in-envelope, and further guidance can be found via. the </w:t>
      </w:r>
      <w:hyperlink r:id="rId16" w:history="1">
        <w:r w:rsidRPr="000C7BBB">
          <w:rPr>
            <w:rStyle w:val="Hyperlink"/>
            <w:rFonts w:ascii="Arial" w:hAnsi="Arial" w:cs="Arial"/>
            <w:sz w:val="19"/>
            <w:szCs w:val="19"/>
          </w:rPr>
          <w:t>Cash in Emergencies Toolkit</w:t>
        </w:r>
      </w:hyperlink>
      <w:r w:rsidRPr="000C7BBB">
        <w:rPr>
          <w:rFonts w:ascii="Arial" w:hAnsi="Arial" w:cs="Arial"/>
          <w:sz w:val="19"/>
          <w:szCs w:val="19"/>
        </w:rPr>
        <w:t>.</w:t>
      </w:r>
    </w:p>
    <w:p w14:paraId="78068721" w14:textId="77777777" w:rsidR="008B3958" w:rsidRDefault="00BA7951" w:rsidP="008B3958">
      <w:pPr>
        <w:jc w:val="both"/>
        <w:rPr>
          <w:rFonts w:ascii="Arial" w:hAnsi="Arial" w:cs="Arial"/>
          <w:sz w:val="19"/>
          <w:szCs w:val="19"/>
        </w:rPr>
      </w:pPr>
      <w:r w:rsidRPr="000C7BBB">
        <w:rPr>
          <w:rFonts w:ascii="Arial" w:hAnsi="Arial" w:cs="Arial"/>
          <w:sz w:val="19"/>
          <w:szCs w:val="19"/>
        </w:rPr>
        <w:t>The decisions taken and the forecast produced in this sub-step will feed into your budget for the rental programme. Further information is given in</w:t>
      </w:r>
      <w:r w:rsidR="008B3958">
        <w:rPr>
          <w:rFonts w:ascii="Arial" w:hAnsi="Arial" w:cs="Arial"/>
          <w:sz w:val="19"/>
          <w:szCs w:val="19"/>
        </w:rPr>
        <w:t>:</w:t>
      </w:r>
    </w:p>
    <w:p w14:paraId="4900B9F5" w14:textId="3391B62C" w:rsidR="00BA7951" w:rsidRPr="000C7BBB" w:rsidRDefault="00BA7951" w:rsidP="00C1060C">
      <w:pPr>
        <w:rPr>
          <w:rFonts w:ascii="Arial" w:hAnsi="Arial" w:cs="Arial"/>
          <w:sz w:val="19"/>
          <w:szCs w:val="19"/>
        </w:rPr>
      </w:pPr>
      <w:r w:rsidRPr="000C7BBB">
        <w:rPr>
          <w:rFonts w:ascii="Arial" w:hAnsi="Arial" w:cs="Arial"/>
          <w:sz w:val="19"/>
          <w:szCs w:val="19"/>
        </w:rPr>
        <w:t xml:space="preserve"> </w:t>
      </w:r>
      <w:r w:rsidR="000B7F02" w:rsidRPr="000C7BBB">
        <w:rPr>
          <w:rFonts w:ascii="Arial" w:hAnsi="Arial" w:cs="Arial"/>
          <w:sz w:val="19"/>
          <w:szCs w:val="19"/>
        </w:rPr>
        <w:t>SoP_2.1.1.</w:t>
      </w:r>
      <w:r w:rsidR="00AB7EE5" w:rsidRPr="000C7BBB">
        <w:rPr>
          <w:rFonts w:ascii="Arial" w:hAnsi="Arial" w:cs="Arial"/>
          <w:sz w:val="19"/>
          <w:szCs w:val="19"/>
        </w:rPr>
        <w:t xml:space="preserve"> </w:t>
      </w:r>
      <w:r w:rsidR="008B3958">
        <w:rPr>
          <w:rFonts w:ascii="Arial" w:hAnsi="Arial" w:cs="Arial"/>
          <w:sz w:val="19"/>
          <w:szCs w:val="19"/>
        </w:rPr>
        <w:t>-</w:t>
      </w:r>
      <w:r w:rsidR="00AB7EE5" w:rsidRPr="000C7BBB">
        <w:rPr>
          <w:rFonts w:ascii="Arial" w:hAnsi="Arial" w:cs="Arial"/>
          <w:sz w:val="19"/>
          <w:szCs w:val="19"/>
        </w:rPr>
        <w:t>2</w:t>
      </w:r>
      <w:r w:rsidR="000B7F02" w:rsidRPr="000C7BBB">
        <w:rPr>
          <w:rFonts w:ascii="Arial" w:hAnsi="Arial" w:cs="Arial"/>
          <w:sz w:val="19"/>
          <w:szCs w:val="19"/>
        </w:rPr>
        <w:t>.1.3_InitialProgrammeDesign_RentalAssistance_2023.docx</w:t>
      </w:r>
      <w:r w:rsidRPr="000C7BBB">
        <w:rPr>
          <w:rFonts w:ascii="Arial" w:hAnsi="Arial" w:cs="Arial"/>
          <w:sz w:val="19"/>
          <w:szCs w:val="19"/>
        </w:rPr>
        <w:t>.</w:t>
      </w:r>
    </w:p>
    <w:p w14:paraId="7B4F0774" w14:textId="075B4345" w:rsidR="000D011B" w:rsidRPr="00551CA1" w:rsidRDefault="000D011B" w:rsidP="00DB2ABE">
      <w:pPr>
        <w:pStyle w:val="Heading2"/>
        <w:jc w:val="both"/>
        <w:rPr>
          <w:rFonts w:ascii="Century Gothic" w:hAnsi="Century Gothic" w:cs="Arial"/>
          <w:b/>
          <w:bCs/>
          <w:color w:val="F5333F"/>
          <w:sz w:val="22"/>
          <w:szCs w:val="22"/>
        </w:rPr>
      </w:pPr>
      <w:bookmarkStart w:id="11" w:name="_Toc142739489"/>
      <w:r w:rsidRPr="00551CA1">
        <w:rPr>
          <w:rFonts w:ascii="Century Gothic" w:hAnsi="Century Gothic" w:cs="Arial"/>
          <w:b/>
          <w:bCs/>
          <w:color w:val="F5333F"/>
          <w:sz w:val="22"/>
          <w:szCs w:val="22"/>
        </w:rPr>
        <w:t xml:space="preserve">Financial </w:t>
      </w:r>
      <w:r w:rsidR="00531AEC" w:rsidRPr="00551CA1">
        <w:rPr>
          <w:rFonts w:ascii="Century Gothic" w:hAnsi="Century Gothic" w:cs="Arial"/>
          <w:b/>
          <w:bCs/>
          <w:color w:val="F5333F"/>
          <w:sz w:val="22"/>
          <w:szCs w:val="22"/>
        </w:rPr>
        <w:t xml:space="preserve">Risk and </w:t>
      </w:r>
      <w:r w:rsidRPr="00551CA1">
        <w:rPr>
          <w:rFonts w:ascii="Century Gothic" w:hAnsi="Century Gothic" w:cs="Arial"/>
          <w:b/>
          <w:bCs/>
          <w:color w:val="F5333F"/>
          <w:sz w:val="22"/>
          <w:szCs w:val="22"/>
        </w:rPr>
        <w:t>Approvals</w:t>
      </w:r>
      <w:bookmarkEnd w:id="11"/>
    </w:p>
    <w:p w14:paraId="38195AE1" w14:textId="1F6A363F" w:rsidR="000D011B" w:rsidRPr="000C7BBB" w:rsidRDefault="00DB2ABE" w:rsidP="00DB2ABE">
      <w:pPr>
        <w:jc w:val="both"/>
        <w:rPr>
          <w:rFonts w:ascii="Arial" w:hAnsi="Arial" w:cs="Arial"/>
          <w:sz w:val="19"/>
          <w:szCs w:val="19"/>
        </w:rPr>
      </w:pPr>
      <w:r>
        <w:rPr>
          <w:rFonts w:ascii="Arial" w:hAnsi="Arial" w:cs="Arial"/>
          <w:sz w:val="19"/>
          <w:szCs w:val="19"/>
        </w:rPr>
        <w:br/>
      </w:r>
      <w:r w:rsidR="000D011B" w:rsidRPr="000C7BBB">
        <w:rPr>
          <w:rFonts w:ascii="Arial" w:hAnsi="Arial" w:cs="Arial"/>
          <w:sz w:val="19"/>
          <w:szCs w:val="19"/>
        </w:rPr>
        <w:t xml:space="preserve">Work with </w:t>
      </w:r>
      <w:r w:rsidR="00AB7EE5" w:rsidRPr="000C7BBB">
        <w:rPr>
          <w:rFonts w:ascii="Arial" w:hAnsi="Arial" w:cs="Arial"/>
          <w:sz w:val="19"/>
          <w:szCs w:val="19"/>
        </w:rPr>
        <w:t xml:space="preserve">finance, and </w:t>
      </w:r>
      <w:r w:rsidR="00531AEC" w:rsidRPr="000C7BBB">
        <w:rPr>
          <w:rFonts w:ascii="Arial" w:hAnsi="Arial" w:cs="Arial"/>
          <w:sz w:val="19"/>
          <w:szCs w:val="19"/>
        </w:rPr>
        <w:t>risk and compliance colleagues</w:t>
      </w:r>
      <w:r w:rsidR="00AB7EE5" w:rsidRPr="000C7BBB">
        <w:rPr>
          <w:rFonts w:ascii="Arial" w:hAnsi="Arial" w:cs="Arial"/>
          <w:sz w:val="19"/>
          <w:szCs w:val="19"/>
        </w:rPr>
        <w:t xml:space="preserve"> (where they exist)</w:t>
      </w:r>
      <w:r w:rsidR="00531AEC" w:rsidRPr="000C7BBB">
        <w:rPr>
          <w:rFonts w:ascii="Arial" w:hAnsi="Arial" w:cs="Arial"/>
          <w:sz w:val="19"/>
          <w:szCs w:val="19"/>
        </w:rPr>
        <w:t xml:space="preserve"> to </w:t>
      </w:r>
      <w:r w:rsidR="00764D76" w:rsidRPr="000C7BBB">
        <w:rPr>
          <w:rFonts w:ascii="Arial" w:hAnsi="Arial" w:cs="Arial"/>
          <w:sz w:val="19"/>
          <w:szCs w:val="19"/>
        </w:rPr>
        <w:t xml:space="preserve">ensure there are segregation of duties, and to </w:t>
      </w:r>
      <w:r w:rsidR="00531AEC" w:rsidRPr="000C7BBB">
        <w:rPr>
          <w:rFonts w:ascii="Arial" w:hAnsi="Arial" w:cs="Arial"/>
          <w:sz w:val="19"/>
          <w:szCs w:val="19"/>
        </w:rPr>
        <w:t>establish</w:t>
      </w:r>
      <w:r w:rsidR="00B546A9" w:rsidRPr="000C7BBB">
        <w:rPr>
          <w:rFonts w:ascii="Arial" w:hAnsi="Arial" w:cs="Arial"/>
          <w:sz w:val="19"/>
          <w:szCs w:val="19"/>
        </w:rPr>
        <w:t xml:space="preserve"> an appropriate approvals process. For example:</w:t>
      </w:r>
    </w:p>
    <w:p w14:paraId="03740FCB" w14:textId="71C71927" w:rsidR="00764D76" w:rsidRPr="000C7BBB" w:rsidRDefault="00764D76" w:rsidP="00DB2ABE">
      <w:pPr>
        <w:pStyle w:val="ListParagraph"/>
        <w:numPr>
          <w:ilvl w:val="0"/>
          <w:numId w:val="31"/>
        </w:numPr>
        <w:jc w:val="both"/>
        <w:rPr>
          <w:rFonts w:ascii="Arial" w:hAnsi="Arial" w:cs="Arial"/>
          <w:sz w:val="19"/>
          <w:szCs w:val="19"/>
        </w:rPr>
      </w:pPr>
      <w:r w:rsidRPr="000C7BBB">
        <w:rPr>
          <w:rFonts w:ascii="Arial" w:hAnsi="Arial" w:cs="Arial"/>
          <w:sz w:val="19"/>
          <w:szCs w:val="19"/>
        </w:rPr>
        <w:t>On initial enrolment</w:t>
      </w:r>
      <w:r w:rsidR="004D3756" w:rsidRPr="000C7BBB">
        <w:rPr>
          <w:rFonts w:ascii="Arial" w:hAnsi="Arial" w:cs="Arial"/>
          <w:sz w:val="19"/>
          <w:szCs w:val="19"/>
        </w:rPr>
        <w:t xml:space="preserve"> in the programme </w:t>
      </w:r>
      <w:r w:rsidRPr="000C7BBB">
        <w:rPr>
          <w:rFonts w:ascii="Arial" w:hAnsi="Arial" w:cs="Arial"/>
          <w:sz w:val="19"/>
          <w:szCs w:val="19"/>
        </w:rPr>
        <w:t xml:space="preserve">the </w:t>
      </w:r>
      <w:proofErr w:type="gramStart"/>
      <w:r w:rsidRPr="000C7BBB">
        <w:rPr>
          <w:rFonts w:ascii="Arial" w:hAnsi="Arial" w:cs="Arial"/>
          <w:sz w:val="19"/>
          <w:szCs w:val="19"/>
        </w:rPr>
        <w:t>branch based</w:t>
      </w:r>
      <w:proofErr w:type="gramEnd"/>
      <w:r w:rsidRPr="000C7BBB">
        <w:rPr>
          <w:rFonts w:ascii="Arial" w:hAnsi="Arial" w:cs="Arial"/>
          <w:sz w:val="19"/>
          <w:szCs w:val="19"/>
        </w:rPr>
        <w:t xml:space="preserve"> shelter team leader should independently verify via. a phone call that the information submitted by Kobo/</w:t>
      </w:r>
      <w:proofErr w:type="spellStart"/>
      <w:r w:rsidRPr="000C7BBB">
        <w:rPr>
          <w:rFonts w:ascii="Arial" w:hAnsi="Arial" w:cs="Arial"/>
          <w:sz w:val="19"/>
          <w:szCs w:val="19"/>
        </w:rPr>
        <w:t>EspoCRM</w:t>
      </w:r>
      <w:proofErr w:type="spellEnd"/>
      <w:r w:rsidRPr="000C7BBB">
        <w:rPr>
          <w:rFonts w:ascii="Arial" w:hAnsi="Arial" w:cs="Arial"/>
          <w:sz w:val="19"/>
          <w:szCs w:val="19"/>
        </w:rPr>
        <w:t xml:space="preserve"> form related to bank account details</w:t>
      </w:r>
      <w:r w:rsidR="004D3756" w:rsidRPr="000C7BBB">
        <w:rPr>
          <w:rFonts w:ascii="Arial" w:hAnsi="Arial" w:cs="Arial"/>
          <w:sz w:val="19"/>
          <w:szCs w:val="19"/>
        </w:rPr>
        <w:t xml:space="preserve"> is correct. Note that this may not be required where the Financial Service Provider automatically checks the bank account number matches with the </w:t>
      </w:r>
      <w:proofErr w:type="gramStart"/>
      <w:r w:rsidR="004D3756" w:rsidRPr="000C7BBB">
        <w:rPr>
          <w:rFonts w:ascii="Arial" w:hAnsi="Arial" w:cs="Arial"/>
          <w:sz w:val="19"/>
          <w:szCs w:val="19"/>
        </w:rPr>
        <w:t>payee</w:t>
      </w:r>
      <w:proofErr w:type="gramEnd"/>
      <w:r w:rsidR="004D3756" w:rsidRPr="000C7BBB">
        <w:rPr>
          <w:rFonts w:ascii="Arial" w:hAnsi="Arial" w:cs="Arial"/>
          <w:sz w:val="19"/>
          <w:szCs w:val="19"/>
        </w:rPr>
        <w:t xml:space="preserve"> name before a transfer is allowed to take place.</w:t>
      </w:r>
    </w:p>
    <w:p w14:paraId="50AC5629" w14:textId="4180C0DF" w:rsidR="00B546A9" w:rsidRPr="000C7BBB" w:rsidRDefault="00B546A9" w:rsidP="00DB2ABE">
      <w:pPr>
        <w:pStyle w:val="ListParagraph"/>
        <w:numPr>
          <w:ilvl w:val="0"/>
          <w:numId w:val="31"/>
        </w:numPr>
        <w:jc w:val="both"/>
        <w:rPr>
          <w:rFonts w:ascii="Arial" w:hAnsi="Arial" w:cs="Arial"/>
          <w:sz w:val="19"/>
          <w:szCs w:val="19"/>
        </w:rPr>
      </w:pPr>
      <w:r w:rsidRPr="000C7BBB">
        <w:rPr>
          <w:rFonts w:ascii="Arial" w:hAnsi="Arial" w:cs="Arial"/>
          <w:sz w:val="19"/>
          <w:szCs w:val="19"/>
        </w:rPr>
        <w:t>Branch based shelter team leader may approve rental payments as the first approver, having first reviewed the records related to the occupancy calls. Branch based shelter team leader may spot-check 1% of households in their area, to ask for feedback on programme, but also to spot-check occupancy calls and double-check financial information for bank transfer.</w:t>
      </w:r>
    </w:p>
    <w:p w14:paraId="4E5E493D" w14:textId="14EA5121" w:rsidR="00B546A9" w:rsidRPr="000C7BBB" w:rsidRDefault="00B546A9" w:rsidP="00DB2ABE">
      <w:pPr>
        <w:pStyle w:val="ListParagraph"/>
        <w:numPr>
          <w:ilvl w:val="0"/>
          <w:numId w:val="31"/>
        </w:numPr>
        <w:jc w:val="both"/>
        <w:rPr>
          <w:rFonts w:ascii="Arial" w:hAnsi="Arial" w:cs="Arial"/>
          <w:sz w:val="19"/>
          <w:szCs w:val="19"/>
        </w:rPr>
      </w:pPr>
      <w:r w:rsidRPr="000C7BBB">
        <w:rPr>
          <w:rFonts w:ascii="Arial" w:hAnsi="Arial" w:cs="Arial"/>
          <w:sz w:val="19"/>
          <w:szCs w:val="19"/>
        </w:rPr>
        <w:t>HQ based shelter manager may check the process has been followed.</w:t>
      </w:r>
    </w:p>
    <w:p w14:paraId="296D1A56" w14:textId="66137CCA" w:rsidR="00B546A9" w:rsidRPr="000C7BBB" w:rsidRDefault="00B546A9" w:rsidP="00DB2ABE">
      <w:pPr>
        <w:pStyle w:val="ListParagraph"/>
        <w:numPr>
          <w:ilvl w:val="0"/>
          <w:numId w:val="31"/>
        </w:numPr>
        <w:jc w:val="both"/>
        <w:rPr>
          <w:rFonts w:ascii="Arial" w:hAnsi="Arial" w:cs="Arial"/>
          <w:sz w:val="19"/>
          <w:szCs w:val="19"/>
        </w:rPr>
      </w:pPr>
      <w:r w:rsidRPr="000C7BBB">
        <w:rPr>
          <w:rFonts w:ascii="Arial" w:hAnsi="Arial" w:cs="Arial"/>
          <w:sz w:val="19"/>
          <w:szCs w:val="19"/>
        </w:rPr>
        <w:t>RC Finance manager may be final approver before payment.</w:t>
      </w:r>
    </w:p>
    <w:p w14:paraId="6B6465E6" w14:textId="3BC6ED86" w:rsidR="00477E70" w:rsidRPr="000C7BBB" w:rsidRDefault="00477E70" w:rsidP="00DB2ABE">
      <w:pPr>
        <w:jc w:val="both"/>
        <w:rPr>
          <w:rFonts w:ascii="Arial" w:hAnsi="Arial" w:cs="Arial"/>
          <w:sz w:val="19"/>
          <w:szCs w:val="19"/>
        </w:rPr>
      </w:pPr>
      <w:r w:rsidRPr="000C7BBB">
        <w:rPr>
          <w:rFonts w:ascii="Arial" w:hAnsi="Arial" w:cs="Arial"/>
          <w:sz w:val="19"/>
          <w:szCs w:val="19"/>
        </w:rPr>
        <w:t>An example from the Slovakia shelter programme during the Ukraine 2022-2024 response had the Slovak Red Cross HQ based operations manager being the Level 1 approver for finance who would check the in-country processes had been followed. The Level 2 approver was IFRC Budapest office.</w:t>
      </w:r>
    </w:p>
    <w:p w14:paraId="6D2A45CE" w14:textId="7560D75E" w:rsidR="000D011B" w:rsidRPr="00551CA1" w:rsidRDefault="00531AEC" w:rsidP="00DB2ABE">
      <w:pPr>
        <w:pStyle w:val="Heading2"/>
        <w:jc w:val="both"/>
        <w:rPr>
          <w:rFonts w:ascii="Century Gothic" w:hAnsi="Century Gothic" w:cs="Arial"/>
          <w:b/>
          <w:bCs/>
          <w:color w:val="F5333F"/>
          <w:sz w:val="22"/>
          <w:szCs w:val="22"/>
        </w:rPr>
      </w:pPr>
      <w:bookmarkStart w:id="12" w:name="_Toc142739490"/>
      <w:r w:rsidRPr="00551CA1">
        <w:rPr>
          <w:rFonts w:ascii="Century Gothic" w:hAnsi="Century Gothic" w:cs="Arial"/>
          <w:b/>
          <w:bCs/>
          <w:color w:val="F5333F"/>
          <w:sz w:val="22"/>
          <w:szCs w:val="22"/>
        </w:rPr>
        <w:t>Audits</w:t>
      </w:r>
      <w:bookmarkEnd w:id="12"/>
    </w:p>
    <w:p w14:paraId="25741FCF" w14:textId="3B48ED89" w:rsidR="00BD71B3" w:rsidRPr="000C7BBB" w:rsidRDefault="00551CA1" w:rsidP="00DB2ABE">
      <w:pPr>
        <w:jc w:val="both"/>
        <w:rPr>
          <w:rFonts w:ascii="Arial" w:hAnsi="Arial" w:cs="Arial"/>
          <w:sz w:val="19"/>
          <w:szCs w:val="19"/>
        </w:rPr>
      </w:pPr>
      <w:r>
        <w:rPr>
          <w:rFonts w:ascii="Arial" w:hAnsi="Arial" w:cs="Arial"/>
          <w:sz w:val="19"/>
          <w:szCs w:val="19"/>
        </w:rPr>
        <w:br/>
      </w:r>
      <w:r w:rsidR="00531AEC" w:rsidRPr="000C7BBB">
        <w:rPr>
          <w:rFonts w:ascii="Arial" w:hAnsi="Arial" w:cs="Arial"/>
          <w:sz w:val="19"/>
          <w:szCs w:val="19"/>
        </w:rPr>
        <w:t xml:space="preserve">Ensure that it is clear what information will need to be </w:t>
      </w:r>
      <w:r w:rsidR="00B546A9" w:rsidRPr="000C7BBB">
        <w:rPr>
          <w:rFonts w:ascii="Arial" w:hAnsi="Arial" w:cs="Arial"/>
          <w:sz w:val="19"/>
          <w:szCs w:val="19"/>
        </w:rPr>
        <w:t>kept at the end of the programme to satisfy audit purposes. For example</w:t>
      </w:r>
      <w:r w:rsidR="00477E70" w:rsidRPr="000C7BBB">
        <w:rPr>
          <w:rFonts w:ascii="Arial" w:hAnsi="Arial" w:cs="Arial"/>
          <w:sz w:val="19"/>
          <w:szCs w:val="19"/>
        </w:rPr>
        <w:t>,</w:t>
      </w:r>
      <w:r w:rsidR="00B546A9" w:rsidRPr="000C7BBB">
        <w:rPr>
          <w:rFonts w:ascii="Arial" w:hAnsi="Arial" w:cs="Arial"/>
          <w:sz w:val="19"/>
          <w:szCs w:val="19"/>
        </w:rPr>
        <w:t xml:space="preserve"> will any recipient data need to be kept, if </w:t>
      </w:r>
      <w:proofErr w:type="gramStart"/>
      <w:r w:rsidR="00B546A9" w:rsidRPr="000C7BBB">
        <w:rPr>
          <w:rFonts w:ascii="Arial" w:hAnsi="Arial" w:cs="Arial"/>
          <w:sz w:val="19"/>
          <w:szCs w:val="19"/>
        </w:rPr>
        <w:t>so</w:t>
      </w:r>
      <w:proofErr w:type="gramEnd"/>
      <w:r w:rsidR="00B546A9" w:rsidRPr="000C7BBB">
        <w:rPr>
          <w:rFonts w:ascii="Arial" w:hAnsi="Arial" w:cs="Arial"/>
          <w:sz w:val="19"/>
          <w:szCs w:val="19"/>
        </w:rPr>
        <w:t xml:space="preserve"> this will need to be communicated with recipients when you are collecting information</w:t>
      </w:r>
      <w:r w:rsidR="000B7F02" w:rsidRPr="000C7BBB">
        <w:rPr>
          <w:rFonts w:ascii="Arial" w:hAnsi="Arial" w:cs="Arial"/>
          <w:sz w:val="19"/>
          <w:szCs w:val="19"/>
        </w:rPr>
        <w:t>, alternatively processes to code and anonymise the identifiable data can be undertaken</w:t>
      </w:r>
      <w:r w:rsidR="00B546A9" w:rsidRPr="000C7BBB">
        <w:rPr>
          <w:rFonts w:ascii="Arial" w:hAnsi="Arial" w:cs="Arial"/>
          <w:sz w:val="19"/>
          <w:szCs w:val="19"/>
        </w:rPr>
        <w:t>.</w:t>
      </w:r>
    </w:p>
    <w:p w14:paraId="4FEDDAA0" w14:textId="77777777" w:rsidR="00C24F4E" w:rsidRPr="000C7BBB" w:rsidRDefault="00C24F4E" w:rsidP="00DB2ABE">
      <w:pPr>
        <w:jc w:val="both"/>
        <w:rPr>
          <w:rFonts w:ascii="Arial" w:hAnsi="Arial" w:cs="Arial"/>
          <w:sz w:val="19"/>
          <w:szCs w:val="19"/>
        </w:rPr>
      </w:pPr>
    </w:p>
    <w:sectPr w:rsidR="00C24F4E" w:rsidRPr="000C7BBB" w:rsidSect="00B10AEE">
      <w:headerReference w:type="default" r:id="rId17"/>
      <w:footerReference w:type="even"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7A6E3" w14:textId="77777777" w:rsidR="00A137CF" w:rsidRDefault="00A137CF" w:rsidP="001301EF">
      <w:pPr>
        <w:spacing w:after="0" w:line="240" w:lineRule="auto"/>
      </w:pPr>
      <w:r>
        <w:separator/>
      </w:r>
    </w:p>
  </w:endnote>
  <w:endnote w:type="continuationSeparator" w:id="0">
    <w:p w14:paraId="05131FC0" w14:textId="77777777" w:rsidR="00A137CF" w:rsidRDefault="00A137CF" w:rsidP="001301EF">
      <w:pPr>
        <w:spacing w:after="0" w:line="240" w:lineRule="auto"/>
      </w:pPr>
      <w:r>
        <w:continuationSeparator/>
      </w:r>
    </w:p>
  </w:endnote>
  <w:endnote w:type="continuationNotice" w:id="1">
    <w:p w14:paraId="5B285892" w14:textId="77777777" w:rsidR="00A137CF" w:rsidRDefault="00A13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3884042"/>
      <w:docPartObj>
        <w:docPartGallery w:val="Page Numbers (Bottom of Page)"/>
        <w:docPartUnique/>
      </w:docPartObj>
    </w:sdtPr>
    <w:sdtEndPr>
      <w:rPr>
        <w:rStyle w:val="PageNumber"/>
      </w:rPr>
    </w:sdtEndPr>
    <w:sdtContent>
      <w:p w14:paraId="6D16FA00" w14:textId="7CC69089" w:rsidR="000C7BBB" w:rsidRDefault="000C7BBB"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CFC9C" w14:textId="77777777" w:rsidR="000C7BBB" w:rsidRDefault="000C7BBB" w:rsidP="000C7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3707006"/>
      <w:docPartObj>
        <w:docPartGallery w:val="Page Numbers (Bottom of Page)"/>
        <w:docPartUnique/>
      </w:docPartObj>
    </w:sdtPr>
    <w:sdtEndPr>
      <w:rPr>
        <w:rStyle w:val="PageNumber"/>
      </w:rPr>
    </w:sdtEndPr>
    <w:sdtContent>
      <w:p w14:paraId="5B25538A" w14:textId="105B4E34" w:rsidR="000C7BBB" w:rsidRDefault="000C7BBB" w:rsidP="001777BA">
        <w:pPr>
          <w:pStyle w:val="Footer"/>
          <w:framePr w:wrap="none" w:vAnchor="text" w:hAnchor="margin" w:xAlign="right" w:y="1"/>
          <w:rPr>
            <w:rStyle w:val="PageNumber"/>
          </w:rPr>
        </w:pPr>
        <w:r w:rsidRPr="000C7BBB">
          <w:rPr>
            <w:rStyle w:val="PageNumber"/>
            <w:rFonts w:ascii="Arial" w:hAnsi="Arial" w:cs="Arial"/>
            <w:color w:val="F5333F"/>
          </w:rPr>
          <w:fldChar w:fldCharType="begin"/>
        </w:r>
        <w:r w:rsidRPr="000C7BBB">
          <w:rPr>
            <w:rStyle w:val="PageNumber"/>
            <w:rFonts w:ascii="Arial" w:hAnsi="Arial" w:cs="Arial"/>
            <w:color w:val="F5333F"/>
          </w:rPr>
          <w:instrText xml:space="preserve"> PAGE </w:instrText>
        </w:r>
        <w:r w:rsidRPr="000C7BBB">
          <w:rPr>
            <w:rStyle w:val="PageNumber"/>
            <w:rFonts w:ascii="Arial" w:hAnsi="Arial" w:cs="Arial"/>
            <w:color w:val="F5333F"/>
          </w:rPr>
          <w:fldChar w:fldCharType="separate"/>
        </w:r>
        <w:r w:rsidRPr="000C7BBB">
          <w:rPr>
            <w:rStyle w:val="PageNumber"/>
            <w:rFonts w:ascii="Arial" w:hAnsi="Arial" w:cs="Arial"/>
            <w:noProof/>
            <w:color w:val="F5333F"/>
          </w:rPr>
          <w:t>2</w:t>
        </w:r>
        <w:r w:rsidRPr="000C7BBB">
          <w:rPr>
            <w:rStyle w:val="PageNumber"/>
            <w:rFonts w:ascii="Arial" w:hAnsi="Arial" w:cs="Arial"/>
            <w:color w:val="F5333F"/>
          </w:rPr>
          <w:fldChar w:fldCharType="end"/>
        </w:r>
      </w:p>
    </w:sdtContent>
  </w:sdt>
  <w:p w14:paraId="582486C8" w14:textId="64C393E0" w:rsidR="005F218C" w:rsidRDefault="005F218C" w:rsidP="000C7BB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7DC2" w14:textId="77777777" w:rsidR="00A137CF" w:rsidRDefault="00A137CF" w:rsidP="001301EF">
      <w:pPr>
        <w:spacing w:after="0" w:line="240" w:lineRule="auto"/>
      </w:pPr>
      <w:r>
        <w:separator/>
      </w:r>
    </w:p>
  </w:footnote>
  <w:footnote w:type="continuationSeparator" w:id="0">
    <w:p w14:paraId="2C6F4822" w14:textId="77777777" w:rsidR="00A137CF" w:rsidRDefault="00A137CF" w:rsidP="001301EF">
      <w:pPr>
        <w:spacing w:after="0" w:line="240" w:lineRule="auto"/>
      </w:pPr>
      <w:r>
        <w:continuationSeparator/>
      </w:r>
    </w:p>
  </w:footnote>
  <w:footnote w:type="continuationNotice" w:id="1">
    <w:p w14:paraId="5A860414" w14:textId="77777777" w:rsidR="00A137CF" w:rsidRDefault="00A13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33129014" w:rsidR="005F218C" w:rsidRPr="000C7BBB" w:rsidRDefault="005F218C" w:rsidP="000C7BBB">
    <w:pPr>
      <w:pStyle w:val="Header"/>
      <w:jc w:val="center"/>
      <w:rPr>
        <w:rFonts w:ascii="Arial" w:hAnsi="Arial" w:cs="Arial"/>
        <w:color w:val="F5333F"/>
        <w:sz w:val="16"/>
        <w:szCs w:val="16"/>
      </w:rPr>
    </w:pPr>
    <w:r w:rsidRPr="000C7BBB">
      <w:rPr>
        <w:rFonts w:ascii="Arial" w:hAnsi="Arial" w:cs="Arial"/>
        <w:color w:val="F5333F"/>
        <w:sz w:val="16"/>
        <w:szCs w:val="16"/>
      </w:rPr>
      <w:t xml:space="preserve">Rental Assistance SoP </w:t>
    </w:r>
    <w:r w:rsidR="00CB1353" w:rsidRPr="000C7BBB">
      <w:rPr>
        <w:rFonts w:ascii="Arial" w:hAnsi="Arial" w:cs="Arial"/>
        <w:color w:val="F5333F"/>
        <w:sz w:val="16"/>
        <w:szCs w:val="16"/>
      </w:rPr>
      <w:t>2</w:t>
    </w:r>
    <w:r w:rsidRPr="000C7BBB">
      <w:rPr>
        <w:rFonts w:ascii="Arial" w:hAnsi="Arial" w:cs="Arial"/>
        <w:color w:val="F5333F"/>
        <w:sz w:val="16"/>
        <w:szCs w:val="16"/>
      </w:rPr>
      <w:t>.</w:t>
    </w:r>
    <w:r w:rsidR="00CB1353" w:rsidRPr="000C7BBB">
      <w:rPr>
        <w:rFonts w:ascii="Arial" w:hAnsi="Arial" w:cs="Arial"/>
        <w:color w:val="F5333F"/>
        <w:sz w:val="16"/>
        <w:szCs w:val="16"/>
      </w:rPr>
      <w:t>1</w:t>
    </w:r>
    <w:r w:rsidR="00773BB2" w:rsidRPr="000C7BBB">
      <w:rPr>
        <w:rFonts w:ascii="Arial" w:hAnsi="Arial" w:cs="Arial"/>
        <w:color w:val="F5333F"/>
        <w:sz w:val="16"/>
        <w:szCs w:val="16"/>
      </w:rPr>
      <w:t>.6</w:t>
    </w:r>
    <w:r w:rsidRPr="000C7BBB">
      <w:rPr>
        <w:rFonts w:ascii="Arial" w:hAnsi="Arial" w:cs="Arial"/>
        <w:color w:val="F5333F"/>
        <w:sz w:val="16"/>
        <w:szCs w:val="16"/>
      </w:rPr>
      <w:t xml:space="preserve"> – </w:t>
    </w:r>
    <w:r w:rsidR="00CB1353" w:rsidRPr="000C7BBB">
      <w:rPr>
        <w:rFonts w:ascii="Arial" w:hAnsi="Arial" w:cs="Arial"/>
        <w:color w:val="F5333F"/>
        <w:sz w:val="16"/>
        <w:szCs w:val="16"/>
      </w:rPr>
      <w:t>Planning the Rental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427FC" w14:textId="5C763C3D" w:rsidR="00B10AEE" w:rsidRDefault="00B10AEE">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2225F915" wp14:editId="1D408233">
              <wp:simplePos x="0" y="0"/>
              <wp:positionH relativeFrom="column">
                <wp:posOffset>1463040</wp:posOffset>
              </wp:positionH>
              <wp:positionV relativeFrom="paragraph">
                <wp:posOffset>205740</wp:posOffset>
              </wp:positionV>
              <wp:extent cx="4023360" cy="868680"/>
              <wp:effectExtent l="0" t="0" r="0" b="7620"/>
              <wp:wrapNone/>
              <wp:docPr id="1924065200" name="Cuadro de texto 2"/>
              <wp:cNvGraphicFramePr/>
              <a:graphic xmlns:a="http://schemas.openxmlformats.org/drawingml/2006/main">
                <a:graphicData uri="http://schemas.microsoft.com/office/word/2010/wordprocessingShape">
                  <wps:wsp>
                    <wps:cNvSpPr txBox="1"/>
                    <wps:spPr>
                      <a:xfrm>
                        <a:off x="0" y="0"/>
                        <a:ext cx="4023360" cy="868680"/>
                      </a:xfrm>
                      <a:prstGeom prst="rect">
                        <a:avLst/>
                      </a:prstGeom>
                      <a:noFill/>
                      <a:ln w="6350">
                        <a:noFill/>
                      </a:ln>
                    </wps:spPr>
                    <wps:txbx>
                      <w:txbxContent>
                        <w:p w14:paraId="160006DE" w14:textId="0A9D2154" w:rsidR="00B10AEE" w:rsidRPr="009503F7" w:rsidRDefault="00B10AEE" w:rsidP="00B10AEE">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B10AEE">
                            <w:rPr>
                              <w:rFonts w:ascii="Century Gothic" w:eastAsiaTheme="majorEastAsia" w:hAnsi="Century Gothic" w:cs="Arial"/>
                              <w:b/>
                              <w:bCs/>
                              <w:color w:val="F5333F"/>
                              <w:spacing w:val="-10"/>
                              <w:kern w:val="28"/>
                              <w:sz w:val="44"/>
                              <w:szCs w:val="44"/>
                            </w:rPr>
                            <w:t>SoP 2.1.6– Planning the Rental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5F915" id="_x0000_t202" coordsize="21600,21600" o:spt="202" path="m,l,21600r21600,l21600,xe">
              <v:stroke joinstyle="miter"/>
              <v:path gradientshapeok="t" o:connecttype="rect"/>
            </v:shapetype>
            <v:shape id="Cuadro de texto 2" o:spid="_x0000_s1027" type="#_x0000_t202" style="position:absolute;margin-left:115.2pt;margin-top:16.2pt;width:316.8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" filled="f" stroked="f" strokeweight=".5pt">
              <v:textbox>
                <w:txbxContent>
                  <w:p w14:paraId="160006DE" w14:textId="0A9D2154" w:rsidR="00B10AEE" w:rsidRPr="009503F7" w:rsidRDefault="00B10AEE" w:rsidP="00B10AEE">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B10AEE">
                      <w:rPr>
                        <w:rFonts w:ascii="Century Gothic" w:eastAsiaTheme="majorEastAsia" w:hAnsi="Century Gothic" w:cs="Arial"/>
                        <w:b/>
                        <w:bCs/>
                        <w:color w:val="F5333F"/>
                        <w:spacing w:val="-10"/>
                        <w:kern w:val="28"/>
                        <w:sz w:val="44"/>
                        <w:szCs w:val="44"/>
                      </w:rPr>
                      <w:t>SoP 2.1.6– Planning the Rental Payments</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6CAAD7C" wp14:editId="78A2B5B5">
          <wp:simplePos x="0" y="0"/>
          <wp:positionH relativeFrom="column">
            <wp:posOffset>-944880</wp:posOffset>
          </wp:positionH>
          <wp:positionV relativeFrom="page">
            <wp:posOffset>-34925</wp:posOffset>
          </wp:positionV>
          <wp:extent cx="7574280" cy="2015490"/>
          <wp:effectExtent l="0" t="0" r="0" b="3810"/>
          <wp:wrapSquare wrapText="bothSides"/>
          <wp:docPr id="196510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2B92"/>
    <w:multiLevelType w:val="hybridMultilevel"/>
    <w:tmpl w:val="798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B5F"/>
    <w:multiLevelType w:val="hybridMultilevel"/>
    <w:tmpl w:val="F8E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20E6C"/>
    <w:multiLevelType w:val="hybridMultilevel"/>
    <w:tmpl w:val="FDF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 w15:restartNumberingAfterBreak="0">
    <w:nsid w:val="1DDC3B2F"/>
    <w:multiLevelType w:val="hybridMultilevel"/>
    <w:tmpl w:val="AA3665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84972"/>
    <w:multiLevelType w:val="hybridMultilevel"/>
    <w:tmpl w:val="C9AEBE22"/>
    <w:lvl w:ilvl="0" w:tplc="9F563336">
      <w:start w:val="1"/>
      <w:numFmt w:val="decimal"/>
      <w:lvlText w:val="%1)"/>
      <w:lvlJc w:val="left"/>
      <w:pPr>
        <w:tabs>
          <w:tab w:val="num" w:pos="360"/>
        </w:tabs>
        <w:ind w:left="360" w:hanging="360"/>
      </w:pPr>
    </w:lvl>
    <w:lvl w:ilvl="1" w:tplc="FA94AC54" w:tentative="1">
      <w:start w:val="1"/>
      <w:numFmt w:val="decimal"/>
      <w:lvlText w:val="%2)"/>
      <w:lvlJc w:val="left"/>
      <w:pPr>
        <w:tabs>
          <w:tab w:val="num" w:pos="1080"/>
        </w:tabs>
        <w:ind w:left="1080" w:hanging="360"/>
      </w:pPr>
    </w:lvl>
    <w:lvl w:ilvl="2" w:tplc="9738E4E0" w:tentative="1">
      <w:start w:val="1"/>
      <w:numFmt w:val="decimal"/>
      <w:lvlText w:val="%3)"/>
      <w:lvlJc w:val="left"/>
      <w:pPr>
        <w:tabs>
          <w:tab w:val="num" w:pos="1800"/>
        </w:tabs>
        <w:ind w:left="1800" w:hanging="360"/>
      </w:pPr>
    </w:lvl>
    <w:lvl w:ilvl="3" w:tplc="2AB862BA" w:tentative="1">
      <w:start w:val="1"/>
      <w:numFmt w:val="decimal"/>
      <w:lvlText w:val="%4)"/>
      <w:lvlJc w:val="left"/>
      <w:pPr>
        <w:tabs>
          <w:tab w:val="num" w:pos="2520"/>
        </w:tabs>
        <w:ind w:left="2520" w:hanging="360"/>
      </w:pPr>
    </w:lvl>
    <w:lvl w:ilvl="4" w:tplc="10AA9E5A" w:tentative="1">
      <w:start w:val="1"/>
      <w:numFmt w:val="decimal"/>
      <w:lvlText w:val="%5)"/>
      <w:lvlJc w:val="left"/>
      <w:pPr>
        <w:tabs>
          <w:tab w:val="num" w:pos="3240"/>
        </w:tabs>
        <w:ind w:left="3240" w:hanging="360"/>
      </w:pPr>
    </w:lvl>
    <w:lvl w:ilvl="5" w:tplc="913C47FC" w:tentative="1">
      <w:start w:val="1"/>
      <w:numFmt w:val="decimal"/>
      <w:lvlText w:val="%6)"/>
      <w:lvlJc w:val="left"/>
      <w:pPr>
        <w:tabs>
          <w:tab w:val="num" w:pos="3960"/>
        </w:tabs>
        <w:ind w:left="3960" w:hanging="360"/>
      </w:pPr>
    </w:lvl>
    <w:lvl w:ilvl="6" w:tplc="0F74186E" w:tentative="1">
      <w:start w:val="1"/>
      <w:numFmt w:val="decimal"/>
      <w:lvlText w:val="%7)"/>
      <w:lvlJc w:val="left"/>
      <w:pPr>
        <w:tabs>
          <w:tab w:val="num" w:pos="4680"/>
        </w:tabs>
        <w:ind w:left="4680" w:hanging="360"/>
      </w:pPr>
    </w:lvl>
    <w:lvl w:ilvl="7" w:tplc="80000D80" w:tentative="1">
      <w:start w:val="1"/>
      <w:numFmt w:val="decimal"/>
      <w:lvlText w:val="%8)"/>
      <w:lvlJc w:val="left"/>
      <w:pPr>
        <w:tabs>
          <w:tab w:val="num" w:pos="5400"/>
        </w:tabs>
        <w:ind w:left="5400" w:hanging="360"/>
      </w:pPr>
    </w:lvl>
    <w:lvl w:ilvl="8" w:tplc="2B2CAE22" w:tentative="1">
      <w:start w:val="1"/>
      <w:numFmt w:val="decimal"/>
      <w:lvlText w:val="%9)"/>
      <w:lvlJc w:val="left"/>
      <w:pPr>
        <w:tabs>
          <w:tab w:val="num" w:pos="6120"/>
        </w:tabs>
        <w:ind w:left="6120" w:hanging="360"/>
      </w:pPr>
    </w:lvl>
  </w:abstractNum>
  <w:abstractNum w:abstractNumId="11"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200D5E"/>
    <w:multiLevelType w:val="hybridMultilevel"/>
    <w:tmpl w:val="EE4EB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4" w15:restartNumberingAfterBreak="0">
    <w:nsid w:val="356A5970"/>
    <w:multiLevelType w:val="hybridMultilevel"/>
    <w:tmpl w:val="B7D27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D525DD"/>
    <w:multiLevelType w:val="hybridMultilevel"/>
    <w:tmpl w:val="7DE40DA6"/>
    <w:lvl w:ilvl="0" w:tplc="08090001">
      <w:start w:val="1"/>
      <w:numFmt w:val="bullet"/>
      <w:lvlText w:val=""/>
      <w:lvlJc w:val="left"/>
      <w:pPr>
        <w:ind w:left="770" w:hanging="360"/>
      </w:pPr>
      <w:rPr>
        <w:rFonts w:ascii="Symbol" w:hAnsi="Symbol" w:hint="default"/>
      </w:rPr>
    </w:lvl>
    <w:lvl w:ilvl="1" w:tplc="D64A64E6">
      <w:start w:val="1"/>
      <w:numFmt w:val="bullet"/>
      <w:lvlText w:val="-"/>
      <w:lvlJc w:val="left"/>
      <w:pPr>
        <w:ind w:left="1490" w:hanging="360"/>
      </w:pPr>
      <w:rPr>
        <w:rFonts w:ascii="Calibri" w:eastAsiaTheme="minorHAnsi" w:hAnsi="Calibri" w:cs="Calibr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A9D65D5"/>
    <w:multiLevelType w:val="hybridMultilevel"/>
    <w:tmpl w:val="B23AEB14"/>
    <w:lvl w:ilvl="0" w:tplc="E76CB912">
      <w:start w:val="1"/>
      <w:numFmt w:val="decimal"/>
      <w:lvlText w:val="%1)"/>
      <w:lvlJc w:val="left"/>
      <w:pPr>
        <w:tabs>
          <w:tab w:val="num" w:pos="360"/>
        </w:tabs>
        <w:ind w:left="360" w:hanging="360"/>
      </w:pPr>
    </w:lvl>
    <w:lvl w:ilvl="1" w:tplc="A01E208C" w:tentative="1">
      <w:start w:val="1"/>
      <w:numFmt w:val="decimal"/>
      <w:lvlText w:val="%2)"/>
      <w:lvlJc w:val="left"/>
      <w:pPr>
        <w:tabs>
          <w:tab w:val="num" w:pos="1080"/>
        </w:tabs>
        <w:ind w:left="1080" w:hanging="360"/>
      </w:pPr>
    </w:lvl>
    <w:lvl w:ilvl="2" w:tplc="FC585C7C" w:tentative="1">
      <w:start w:val="1"/>
      <w:numFmt w:val="decimal"/>
      <w:lvlText w:val="%3)"/>
      <w:lvlJc w:val="left"/>
      <w:pPr>
        <w:tabs>
          <w:tab w:val="num" w:pos="1800"/>
        </w:tabs>
        <w:ind w:left="1800" w:hanging="360"/>
      </w:pPr>
    </w:lvl>
    <w:lvl w:ilvl="3" w:tplc="852A1B4A" w:tentative="1">
      <w:start w:val="1"/>
      <w:numFmt w:val="decimal"/>
      <w:lvlText w:val="%4)"/>
      <w:lvlJc w:val="left"/>
      <w:pPr>
        <w:tabs>
          <w:tab w:val="num" w:pos="2520"/>
        </w:tabs>
        <w:ind w:left="2520" w:hanging="360"/>
      </w:pPr>
    </w:lvl>
    <w:lvl w:ilvl="4" w:tplc="2A069840" w:tentative="1">
      <w:start w:val="1"/>
      <w:numFmt w:val="decimal"/>
      <w:lvlText w:val="%5)"/>
      <w:lvlJc w:val="left"/>
      <w:pPr>
        <w:tabs>
          <w:tab w:val="num" w:pos="3240"/>
        </w:tabs>
        <w:ind w:left="3240" w:hanging="360"/>
      </w:pPr>
    </w:lvl>
    <w:lvl w:ilvl="5" w:tplc="7438ED20" w:tentative="1">
      <w:start w:val="1"/>
      <w:numFmt w:val="decimal"/>
      <w:lvlText w:val="%6)"/>
      <w:lvlJc w:val="left"/>
      <w:pPr>
        <w:tabs>
          <w:tab w:val="num" w:pos="3960"/>
        </w:tabs>
        <w:ind w:left="3960" w:hanging="360"/>
      </w:pPr>
    </w:lvl>
    <w:lvl w:ilvl="6" w:tplc="8AF8ECE4" w:tentative="1">
      <w:start w:val="1"/>
      <w:numFmt w:val="decimal"/>
      <w:lvlText w:val="%7)"/>
      <w:lvlJc w:val="left"/>
      <w:pPr>
        <w:tabs>
          <w:tab w:val="num" w:pos="4680"/>
        </w:tabs>
        <w:ind w:left="4680" w:hanging="360"/>
      </w:pPr>
    </w:lvl>
    <w:lvl w:ilvl="7" w:tplc="706AF416" w:tentative="1">
      <w:start w:val="1"/>
      <w:numFmt w:val="decimal"/>
      <w:lvlText w:val="%8)"/>
      <w:lvlJc w:val="left"/>
      <w:pPr>
        <w:tabs>
          <w:tab w:val="num" w:pos="5400"/>
        </w:tabs>
        <w:ind w:left="5400" w:hanging="360"/>
      </w:pPr>
    </w:lvl>
    <w:lvl w:ilvl="8" w:tplc="74A2FBA2" w:tentative="1">
      <w:start w:val="1"/>
      <w:numFmt w:val="decimal"/>
      <w:lvlText w:val="%9)"/>
      <w:lvlJc w:val="left"/>
      <w:pPr>
        <w:tabs>
          <w:tab w:val="num" w:pos="6120"/>
        </w:tabs>
        <w:ind w:left="6120" w:hanging="360"/>
      </w:pPr>
    </w:lvl>
  </w:abstractNum>
  <w:abstractNum w:abstractNumId="17" w15:restartNumberingAfterBreak="0">
    <w:nsid w:val="3AF04EC9"/>
    <w:multiLevelType w:val="hybridMultilevel"/>
    <w:tmpl w:val="A0125BCA"/>
    <w:lvl w:ilvl="0" w:tplc="FFFFFFFF">
      <w:start w:val="1"/>
      <w:numFmt w:val="decimal"/>
      <w:lvlText w:val="%1."/>
      <w:lvlJc w:val="left"/>
      <w:pPr>
        <w:ind w:left="720" w:hanging="360"/>
      </w:pPr>
    </w:lvl>
    <w:lvl w:ilvl="1" w:tplc="D64A64E6">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40658"/>
    <w:multiLevelType w:val="hybridMultilevel"/>
    <w:tmpl w:val="FC2474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8613F0"/>
    <w:multiLevelType w:val="hybridMultilevel"/>
    <w:tmpl w:val="89A639A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90026"/>
    <w:multiLevelType w:val="hybridMultilevel"/>
    <w:tmpl w:val="B57ABC52"/>
    <w:lvl w:ilvl="0" w:tplc="17E6533A">
      <w:start w:val="1"/>
      <w:numFmt w:val="decimal"/>
      <w:lvlText w:val="%1)"/>
      <w:lvlJc w:val="left"/>
      <w:pPr>
        <w:tabs>
          <w:tab w:val="num" w:pos="360"/>
        </w:tabs>
        <w:ind w:left="360" w:hanging="360"/>
      </w:pPr>
    </w:lvl>
    <w:lvl w:ilvl="1" w:tplc="4F8638A6" w:tentative="1">
      <w:start w:val="1"/>
      <w:numFmt w:val="decimal"/>
      <w:lvlText w:val="%2)"/>
      <w:lvlJc w:val="left"/>
      <w:pPr>
        <w:tabs>
          <w:tab w:val="num" w:pos="1080"/>
        </w:tabs>
        <w:ind w:left="1080" w:hanging="360"/>
      </w:pPr>
    </w:lvl>
    <w:lvl w:ilvl="2" w:tplc="CB7015A8" w:tentative="1">
      <w:start w:val="1"/>
      <w:numFmt w:val="decimal"/>
      <w:lvlText w:val="%3)"/>
      <w:lvlJc w:val="left"/>
      <w:pPr>
        <w:tabs>
          <w:tab w:val="num" w:pos="1800"/>
        </w:tabs>
        <w:ind w:left="1800" w:hanging="360"/>
      </w:pPr>
    </w:lvl>
    <w:lvl w:ilvl="3" w:tplc="0C7EB954" w:tentative="1">
      <w:start w:val="1"/>
      <w:numFmt w:val="decimal"/>
      <w:lvlText w:val="%4)"/>
      <w:lvlJc w:val="left"/>
      <w:pPr>
        <w:tabs>
          <w:tab w:val="num" w:pos="2520"/>
        </w:tabs>
        <w:ind w:left="2520" w:hanging="360"/>
      </w:pPr>
    </w:lvl>
    <w:lvl w:ilvl="4" w:tplc="7D28FC66" w:tentative="1">
      <w:start w:val="1"/>
      <w:numFmt w:val="decimal"/>
      <w:lvlText w:val="%5)"/>
      <w:lvlJc w:val="left"/>
      <w:pPr>
        <w:tabs>
          <w:tab w:val="num" w:pos="3240"/>
        </w:tabs>
        <w:ind w:left="3240" w:hanging="360"/>
      </w:pPr>
    </w:lvl>
    <w:lvl w:ilvl="5" w:tplc="79C87464" w:tentative="1">
      <w:start w:val="1"/>
      <w:numFmt w:val="decimal"/>
      <w:lvlText w:val="%6)"/>
      <w:lvlJc w:val="left"/>
      <w:pPr>
        <w:tabs>
          <w:tab w:val="num" w:pos="3960"/>
        </w:tabs>
        <w:ind w:left="3960" w:hanging="360"/>
      </w:pPr>
    </w:lvl>
    <w:lvl w:ilvl="6" w:tplc="82F2E318" w:tentative="1">
      <w:start w:val="1"/>
      <w:numFmt w:val="decimal"/>
      <w:lvlText w:val="%7)"/>
      <w:lvlJc w:val="left"/>
      <w:pPr>
        <w:tabs>
          <w:tab w:val="num" w:pos="4680"/>
        </w:tabs>
        <w:ind w:left="4680" w:hanging="360"/>
      </w:pPr>
    </w:lvl>
    <w:lvl w:ilvl="7" w:tplc="B5A03DF0" w:tentative="1">
      <w:start w:val="1"/>
      <w:numFmt w:val="decimal"/>
      <w:lvlText w:val="%8)"/>
      <w:lvlJc w:val="left"/>
      <w:pPr>
        <w:tabs>
          <w:tab w:val="num" w:pos="5400"/>
        </w:tabs>
        <w:ind w:left="5400" w:hanging="360"/>
      </w:pPr>
    </w:lvl>
    <w:lvl w:ilvl="8" w:tplc="7FF66698" w:tentative="1">
      <w:start w:val="1"/>
      <w:numFmt w:val="decimal"/>
      <w:lvlText w:val="%9)"/>
      <w:lvlJc w:val="left"/>
      <w:pPr>
        <w:tabs>
          <w:tab w:val="num" w:pos="6120"/>
        </w:tabs>
        <w:ind w:left="6120" w:hanging="360"/>
      </w:pPr>
    </w:lvl>
  </w:abstractNum>
  <w:abstractNum w:abstractNumId="28" w15:restartNumberingAfterBreak="0">
    <w:nsid w:val="71935964"/>
    <w:multiLevelType w:val="hybridMultilevel"/>
    <w:tmpl w:val="4546E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22D1A"/>
    <w:multiLevelType w:val="hybridMultilevel"/>
    <w:tmpl w:val="E4089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17649"/>
    <w:multiLevelType w:val="hybridMultilevel"/>
    <w:tmpl w:val="3E3CE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9"/>
  </w:num>
  <w:num w:numId="2" w16cid:durableId="1307317685">
    <w:abstractNumId w:val="31"/>
  </w:num>
  <w:num w:numId="3" w16cid:durableId="1375888059">
    <w:abstractNumId w:val="13"/>
  </w:num>
  <w:num w:numId="4" w16cid:durableId="462117161">
    <w:abstractNumId w:val="18"/>
  </w:num>
  <w:num w:numId="5" w16cid:durableId="1171137479">
    <w:abstractNumId w:val="11"/>
  </w:num>
  <w:num w:numId="6" w16cid:durableId="2081638827">
    <w:abstractNumId w:val="1"/>
  </w:num>
  <w:num w:numId="7" w16cid:durableId="1869102553">
    <w:abstractNumId w:val="30"/>
  </w:num>
  <w:num w:numId="8" w16cid:durableId="1699771869">
    <w:abstractNumId w:val="8"/>
  </w:num>
  <w:num w:numId="9" w16cid:durableId="32118787">
    <w:abstractNumId w:val="24"/>
  </w:num>
  <w:num w:numId="10" w16cid:durableId="565803007">
    <w:abstractNumId w:val="0"/>
  </w:num>
  <w:num w:numId="11" w16cid:durableId="723526735">
    <w:abstractNumId w:val="5"/>
  </w:num>
  <w:num w:numId="12" w16cid:durableId="352607706">
    <w:abstractNumId w:val="23"/>
  </w:num>
  <w:num w:numId="13" w16cid:durableId="1140419985">
    <w:abstractNumId w:val="6"/>
  </w:num>
  <w:num w:numId="14" w16cid:durableId="1567229601">
    <w:abstractNumId w:val="21"/>
  </w:num>
  <w:num w:numId="15" w16cid:durableId="1326468700">
    <w:abstractNumId w:val="26"/>
  </w:num>
  <w:num w:numId="16" w16cid:durableId="927928885">
    <w:abstractNumId w:val="7"/>
  </w:num>
  <w:num w:numId="17" w16cid:durableId="241257114">
    <w:abstractNumId w:val="9"/>
  </w:num>
  <w:num w:numId="18" w16cid:durableId="806319170">
    <w:abstractNumId w:val="25"/>
  </w:num>
  <w:num w:numId="19" w16cid:durableId="1936396956">
    <w:abstractNumId w:val="27"/>
  </w:num>
  <w:num w:numId="20" w16cid:durableId="1844928749">
    <w:abstractNumId w:val="16"/>
  </w:num>
  <w:num w:numId="21" w16cid:durableId="759563162">
    <w:abstractNumId w:val="10"/>
  </w:num>
  <w:num w:numId="22" w16cid:durableId="1340498460">
    <w:abstractNumId w:val="2"/>
  </w:num>
  <w:num w:numId="23" w16cid:durableId="236018513">
    <w:abstractNumId w:val="3"/>
  </w:num>
  <w:num w:numId="24" w16cid:durableId="196696066">
    <w:abstractNumId w:val="4"/>
  </w:num>
  <w:num w:numId="25" w16cid:durableId="253629535">
    <w:abstractNumId w:val="15"/>
  </w:num>
  <w:num w:numId="26" w16cid:durableId="2120221199">
    <w:abstractNumId w:val="14"/>
  </w:num>
  <w:num w:numId="27" w16cid:durableId="747843161">
    <w:abstractNumId w:val="17"/>
  </w:num>
  <w:num w:numId="28" w16cid:durableId="1784373517">
    <w:abstractNumId w:val="28"/>
  </w:num>
  <w:num w:numId="29" w16cid:durableId="702756580">
    <w:abstractNumId w:val="32"/>
  </w:num>
  <w:num w:numId="30" w16cid:durableId="1816794522">
    <w:abstractNumId w:val="29"/>
  </w:num>
  <w:num w:numId="31" w16cid:durableId="91361307">
    <w:abstractNumId w:val="20"/>
  </w:num>
  <w:num w:numId="32" w16cid:durableId="630551870">
    <w:abstractNumId w:val="22"/>
  </w:num>
  <w:num w:numId="33" w16cid:durableId="1031344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116CB"/>
    <w:rsid w:val="0003251C"/>
    <w:rsid w:val="0004272E"/>
    <w:rsid w:val="0006517E"/>
    <w:rsid w:val="00075681"/>
    <w:rsid w:val="000B7F02"/>
    <w:rsid w:val="000C7BBB"/>
    <w:rsid w:val="000D011B"/>
    <w:rsid w:val="000D058A"/>
    <w:rsid w:val="000D08D2"/>
    <w:rsid w:val="000D5009"/>
    <w:rsid w:val="000E3F2E"/>
    <w:rsid w:val="000F4B24"/>
    <w:rsid w:val="00121044"/>
    <w:rsid w:val="001301EF"/>
    <w:rsid w:val="00130D95"/>
    <w:rsid w:val="001603F2"/>
    <w:rsid w:val="001B04E4"/>
    <w:rsid w:val="001B7FC5"/>
    <w:rsid w:val="001D6179"/>
    <w:rsid w:val="001D7142"/>
    <w:rsid w:val="00202E28"/>
    <w:rsid w:val="00205B7B"/>
    <w:rsid w:val="002128E5"/>
    <w:rsid w:val="00215ACA"/>
    <w:rsid w:val="00237B51"/>
    <w:rsid w:val="0024264F"/>
    <w:rsid w:val="002544E8"/>
    <w:rsid w:val="002562CF"/>
    <w:rsid w:val="002573CD"/>
    <w:rsid w:val="002623CE"/>
    <w:rsid w:val="00274B75"/>
    <w:rsid w:val="00286F31"/>
    <w:rsid w:val="002A48AE"/>
    <w:rsid w:val="002B1FF1"/>
    <w:rsid w:val="002C4D78"/>
    <w:rsid w:val="002D0CBF"/>
    <w:rsid w:val="002D282E"/>
    <w:rsid w:val="002D4111"/>
    <w:rsid w:val="002D7B37"/>
    <w:rsid w:val="00316EB8"/>
    <w:rsid w:val="00342D67"/>
    <w:rsid w:val="00365C3A"/>
    <w:rsid w:val="0037318F"/>
    <w:rsid w:val="00397C06"/>
    <w:rsid w:val="003A1275"/>
    <w:rsid w:val="003E07EF"/>
    <w:rsid w:val="003E38BE"/>
    <w:rsid w:val="00405E6E"/>
    <w:rsid w:val="00430A9A"/>
    <w:rsid w:val="00435951"/>
    <w:rsid w:val="00440DE4"/>
    <w:rsid w:val="00451FB3"/>
    <w:rsid w:val="00460E1A"/>
    <w:rsid w:val="00477E70"/>
    <w:rsid w:val="004855AD"/>
    <w:rsid w:val="004A0A50"/>
    <w:rsid w:val="004B15D2"/>
    <w:rsid w:val="004D3756"/>
    <w:rsid w:val="004E75F6"/>
    <w:rsid w:val="004F7259"/>
    <w:rsid w:val="0050200D"/>
    <w:rsid w:val="00513E6E"/>
    <w:rsid w:val="005270E6"/>
    <w:rsid w:val="00531AEC"/>
    <w:rsid w:val="00534D8B"/>
    <w:rsid w:val="00551CA1"/>
    <w:rsid w:val="00597956"/>
    <w:rsid w:val="005F218C"/>
    <w:rsid w:val="005F4AFF"/>
    <w:rsid w:val="006156DA"/>
    <w:rsid w:val="0064125C"/>
    <w:rsid w:val="006423C6"/>
    <w:rsid w:val="00660DC8"/>
    <w:rsid w:val="006634EB"/>
    <w:rsid w:val="00665755"/>
    <w:rsid w:val="0068172F"/>
    <w:rsid w:val="006B0510"/>
    <w:rsid w:val="006D248A"/>
    <w:rsid w:val="006D6CF5"/>
    <w:rsid w:val="006E73BC"/>
    <w:rsid w:val="006F743A"/>
    <w:rsid w:val="00704FA4"/>
    <w:rsid w:val="00705759"/>
    <w:rsid w:val="007103B2"/>
    <w:rsid w:val="00712AE8"/>
    <w:rsid w:val="00720C24"/>
    <w:rsid w:val="0072494D"/>
    <w:rsid w:val="00751BD9"/>
    <w:rsid w:val="00753E03"/>
    <w:rsid w:val="00764D76"/>
    <w:rsid w:val="0076528D"/>
    <w:rsid w:val="00773BB2"/>
    <w:rsid w:val="007769C0"/>
    <w:rsid w:val="0077738D"/>
    <w:rsid w:val="007A3271"/>
    <w:rsid w:val="007F1454"/>
    <w:rsid w:val="00811934"/>
    <w:rsid w:val="00811E6D"/>
    <w:rsid w:val="00821898"/>
    <w:rsid w:val="00826F2D"/>
    <w:rsid w:val="00827960"/>
    <w:rsid w:val="008503CD"/>
    <w:rsid w:val="008527D7"/>
    <w:rsid w:val="00853E03"/>
    <w:rsid w:val="00855E85"/>
    <w:rsid w:val="0086089B"/>
    <w:rsid w:val="008675A2"/>
    <w:rsid w:val="008850A6"/>
    <w:rsid w:val="00892C5D"/>
    <w:rsid w:val="008964D7"/>
    <w:rsid w:val="008A06CB"/>
    <w:rsid w:val="008B3958"/>
    <w:rsid w:val="008D5351"/>
    <w:rsid w:val="00902945"/>
    <w:rsid w:val="0092460A"/>
    <w:rsid w:val="009358FC"/>
    <w:rsid w:val="00947462"/>
    <w:rsid w:val="00973124"/>
    <w:rsid w:val="00973AD0"/>
    <w:rsid w:val="009C3DE0"/>
    <w:rsid w:val="009F75D3"/>
    <w:rsid w:val="00A137CF"/>
    <w:rsid w:val="00A306F3"/>
    <w:rsid w:val="00A40E6F"/>
    <w:rsid w:val="00A60741"/>
    <w:rsid w:val="00A614AF"/>
    <w:rsid w:val="00A625DD"/>
    <w:rsid w:val="00A65089"/>
    <w:rsid w:val="00A845E0"/>
    <w:rsid w:val="00AB25CF"/>
    <w:rsid w:val="00AB610D"/>
    <w:rsid w:val="00AB7EE5"/>
    <w:rsid w:val="00AD46EF"/>
    <w:rsid w:val="00AD7E68"/>
    <w:rsid w:val="00AE1C05"/>
    <w:rsid w:val="00B10AEE"/>
    <w:rsid w:val="00B24AAC"/>
    <w:rsid w:val="00B250CA"/>
    <w:rsid w:val="00B43243"/>
    <w:rsid w:val="00B546A9"/>
    <w:rsid w:val="00B5547A"/>
    <w:rsid w:val="00B659F0"/>
    <w:rsid w:val="00B7250A"/>
    <w:rsid w:val="00BA7951"/>
    <w:rsid w:val="00BB3D9B"/>
    <w:rsid w:val="00BB47D1"/>
    <w:rsid w:val="00BD6D3A"/>
    <w:rsid w:val="00BD71B3"/>
    <w:rsid w:val="00BE0228"/>
    <w:rsid w:val="00BF0AB2"/>
    <w:rsid w:val="00BF2BC9"/>
    <w:rsid w:val="00C1060C"/>
    <w:rsid w:val="00C13FC3"/>
    <w:rsid w:val="00C24F4E"/>
    <w:rsid w:val="00C365A5"/>
    <w:rsid w:val="00C37AC2"/>
    <w:rsid w:val="00C50EAF"/>
    <w:rsid w:val="00C71696"/>
    <w:rsid w:val="00CA2888"/>
    <w:rsid w:val="00CB1353"/>
    <w:rsid w:val="00CB1A6A"/>
    <w:rsid w:val="00CB417B"/>
    <w:rsid w:val="00CB50B5"/>
    <w:rsid w:val="00CB5C68"/>
    <w:rsid w:val="00CC0ED3"/>
    <w:rsid w:val="00CD353E"/>
    <w:rsid w:val="00CE257F"/>
    <w:rsid w:val="00CE6C8E"/>
    <w:rsid w:val="00CF07CA"/>
    <w:rsid w:val="00CF2DAD"/>
    <w:rsid w:val="00D12ECE"/>
    <w:rsid w:val="00D14776"/>
    <w:rsid w:val="00D83231"/>
    <w:rsid w:val="00D91C97"/>
    <w:rsid w:val="00D92FBE"/>
    <w:rsid w:val="00DA5769"/>
    <w:rsid w:val="00DB2ABE"/>
    <w:rsid w:val="00DE24E8"/>
    <w:rsid w:val="00DE609A"/>
    <w:rsid w:val="00DF52A4"/>
    <w:rsid w:val="00E077F5"/>
    <w:rsid w:val="00E07AED"/>
    <w:rsid w:val="00E11343"/>
    <w:rsid w:val="00E45074"/>
    <w:rsid w:val="00E55730"/>
    <w:rsid w:val="00E62F64"/>
    <w:rsid w:val="00E719E9"/>
    <w:rsid w:val="00E95DEC"/>
    <w:rsid w:val="00EA0FAE"/>
    <w:rsid w:val="00EB56DD"/>
    <w:rsid w:val="00F0238B"/>
    <w:rsid w:val="00F14540"/>
    <w:rsid w:val="00F65566"/>
    <w:rsid w:val="00FA097F"/>
    <w:rsid w:val="00FD4224"/>
    <w:rsid w:val="00FD7787"/>
    <w:rsid w:val="00FF090E"/>
    <w:rsid w:val="00FF16B8"/>
    <w:rsid w:val="05EFE6F0"/>
    <w:rsid w:val="0672FBFF"/>
    <w:rsid w:val="085EA929"/>
    <w:rsid w:val="08C38C80"/>
    <w:rsid w:val="08DF869E"/>
    <w:rsid w:val="0F340794"/>
    <w:rsid w:val="0F8CC298"/>
    <w:rsid w:val="11D7D6E8"/>
    <w:rsid w:val="16EC7B6E"/>
    <w:rsid w:val="1E52B316"/>
    <w:rsid w:val="20DE1867"/>
    <w:rsid w:val="23630C98"/>
    <w:rsid w:val="23658189"/>
    <w:rsid w:val="252D88FA"/>
    <w:rsid w:val="26052267"/>
    <w:rsid w:val="28E76644"/>
    <w:rsid w:val="2A158647"/>
    <w:rsid w:val="3163FE94"/>
    <w:rsid w:val="3275202D"/>
    <w:rsid w:val="345E1118"/>
    <w:rsid w:val="3999D048"/>
    <w:rsid w:val="39E9B98A"/>
    <w:rsid w:val="3B8589EB"/>
    <w:rsid w:val="3BDE44EF"/>
    <w:rsid w:val="3D4D3471"/>
    <w:rsid w:val="3F357CEE"/>
    <w:rsid w:val="45187B00"/>
    <w:rsid w:val="46897000"/>
    <w:rsid w:val="49C7698E"/>
    <w:rsid w:val="4B626795"/>
    <w:rsid w:val="4E1218AC"/>
    <w:rsid w:val="5024F446"/>
    <w:rsid w:val="516B2C85"/>
    <w:rsid w:val="5294839B"/>
    <w:rsid w:val="56C56AD0"/>
    <w:rsid w:val="57E4D517"/>
    <w:rsid w:val="5E122462"/>
    <w:rsid w:val="5EC6A284"/>
    <w:rsid w:val="5FE726C9"/>
    <w:rsid w:val="62993FF2"/>
    <w:rsid w:val="62D120E5"/>
    <w:rsid w:val="6308089C"/>
    <w:rsid w:val="63481072"/>
    <w:rsid w:val="634B8DD2"/>
    <w:rsid w:val="65C56E97"/>
    <w:rsid w:val="6FC8F5CA"/>
    <w:rsid w:val="70F866D7"/>
    <w:rsid w:val="73DAC79C"/>
    <w:rsid w:val="74C49EDA"/>
    <w:rsid w:val="77D407AF"/>
    <w:rsid w:val="7A420B8F"/>
    <w:rsid w:val="7AE72CC0"/>
    <w:rsid w:val="7DC83947"/>
    <w:rsid w:val="7F895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styleId="TOCHeading">
    <w:name w:val="TOC Heading"/>
    <w:basedOn w:val="Heading1"/>
    <w:next w:val="Normal"/>
    <w:uiPriority w:val="39"/>
    <w:unhideWhenUsed/>
    <w:qFormat/>
    <w:rsid w:val="005F4AFF"/>
    <w:pPr>
      <w:outlineLvl w:val="9"/>
    </w:pPr>
    <w:rPr>
      <w:color w:val="2F5496" w:themeColor="accent1" w:themeShade="BF"/>
      <w:kern w:val="0"/>
      <w:lang w:val="en-US"/>
      <w14:ligatures w14:val="none"/>
    </w:rPr>
  </w:style>
  <w:style w:type="paragraph" w:styleId="TOC1">
    <w:name w:val="toc 1"/>
    <w:basedOn w:val="Normal"/>
    <w:next w:val="Normal"/>
    <w:autoRedefine/>
    <w:uiPriority w:val="39"/>
    <w:unhideWhenUsed/>
    <w:rsid w:val="005F4AFF"/>
    <w:pPr>
      <w:spacing w:after="100"/>
    </w:pPr>
  </w:style>
  <w:style w:type="paragraph" w:styleId="TOC2">
    <w:name w:val="toc 2"/>
    <w:basedOn w:val="Normal"/>
    <w:next w:val="Normal"/>
    <w:autoRedefine/>
    <w:uiPriority w:val="39"/>
    <w:unhideWhenUsed/>
    <w:rsid w:val="005F4AFF"/>
    <w:pPr>
      <w:spacing w:after="100"/>
      <w:ind w:left="220"/>
    </w:pPr>
  </w:style>
  <w:style w:type="character" w:styleId="PageNumber">
    <w:name w:val="page number"/>
    <w:basedOn w:val="DefaultParagraphFont"/>
    <w:uiPriority w:val="99"/>
    <w:semiHidden/>
    <w:unhideWhenUsed/>
    <w:rsid w:val="000C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 w:id="2112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h-hub.org/guidance-and-tools/cash-in-emergencies-toolkit/set-up-and-implement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sh-hub.org/guidance-and-tools/cash-in-emergencies-toolkit/set-up-and-implement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yperlink" Target="https://cash-hub.org/wp-content/uploads/sites/3/2020/11/5_3_3-Encashment-plan-template.xls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h-hub.org/wp-content/uploads/sites/3/2020/11/5_2_4-Distribution-plan-template.xls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2.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5B4EA297-DFDC-4B41-A1E0-136FBCAA4111}"/>
</file>

<file path=customXml/itemProps4.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3061</Words>
  <Characters>17451</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14</cp:revision>
  <dcterms:created xsi:type="dcterms:W3CDTF">2024-05-20T18:57:00Z</dcterms:created>
  <dcterms:modified xsi:type="dcterms:W3CDTF">2024-06-21T01:53:00Z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1,15,17</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2023-04-06T10:56:29Z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5dd2d289-eb2f-4373-b481-fc5bd21d5b23</vt:lpwstr>
  </property>
  <property fmtid="{D5CDD505-2E9C-101B-9397-08002B2CF9AE}" pid="11" name="MSIP_Label_6627b15a-80ec-4ef7-8353-f32e3c89bf3e_ContentBits">
    <vt:lpwstr>2</vt:lpwstr>
  </property>
  <property fmtid="{D5CDD505-2E9C-101B-9397-08002B2CF9AE}" pid="12" name="MediaServiceImageTags">
    <vt:lpwstr/>
  </property>
  <property fmtid="{D5CDD505-2E9C-101B-9397-08002B2CF9AE}" pid="13" name="GrammarlyDocumentId">
    <vt:lpwstr>14a2a5afe3c82bf30b00415b81a3bff607b7e1e056ba1111094791b99980271e</vt:lpwstr>
  </property>
  <property fmtid="{D5CDD505-2E9C-101B-9397-08002B2CF9AE}" pid="14" name="ContentTypeId">
    <vt:lpwstr>0x010100732EEC02ECE9364C866743DCEBCBA81E</vt:lpwstr>
  </property>
</Properties>
</file>