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D251" w14:textId="4F782C23" w:rsidR="00EC15B6" w:rsidRPr="00FC6471" w:rsidRDefault="001301EF" w:rsidP="00FC6471">
      <w:pPr>
        <w:pStyle w:val="Heading1"/>
        <w:jc w:val="both"/>
        <w:rPr>
          <w:rFonts w:ascii="Century Gothic" w:hAnsi="Century Gothic" w:cs="Arial"/>
          <w:b/>
          <w:bCs/>
          <w:color w:val="F5333F"/>
          <w:sz w:val="22"/>
          <w:szCs w:val="22"/>
        </w:rPr>
      </w:pPr>
      <w:r w:rsidRPr="00FC6471">
        <w:rPr>
          <w:rFonts w:ascii="Century Gothic" w:hAnsi="Century Gothic" w:cs="Arial"/>
          <w:b/>
          <w:bCs/>
          <w:color w:val="F5333F"/>
          <w:sz w:val="22"/>
          <w:szCs w:val="22"/>
        </w:rPr>
        <w:t>Introduction</w:t>
      </w:r>
    </w:p>
    <w:p w14:paraId="1407C316" w14:textId="7F03B07C" w:rsidR="00600394" w:rsidRPr="00FC6471" w:rsidRDefault="00FC6471" w:rsidP="00FC6471">
      <w:pPr>
        <w:jc w:val="both"/>
        <w:rPr>
          <w:rFonts w:ascii="Arial" w:hAnsi="Arial" w:cs="Arial"/>
          <w:sz w:val="19"/>
          <w:szCs w:val="19"/>
        </w:rPr>
      </w:pPr>
      <w:r>
        <w:rPr>
          <w:rFonts w:ascii="Arial" w:hAnsi="Arial" w:cs="Arial"/>
          <w:sz w:val="19"/>
          <w:szCs w:val="19"/>
        </w:rPr>
        <w:br/>
      </w:r>
      <w:r w:rsidR="00600394" w:rsidRPr="00FC6471">
        <w:rPr>
          <w:rFonts w:ascii="Arial" w:hAnsi="Arial" w:cs="Arial"/>
          <w:sz w:val="19"/>
          <w:szCs w:val="19"/>
        </w:rPr>
        <w:t xml:space="preserve">During the rental period it may be important to follow-up with the household for </w:t>
      </w:r>
      <w:proofErr w:type="gramStart"/>
      <w:r w:rsidR="00600394" w:rsidRPr="00FC6471">
        <w:rPr>
          <w:rFonts w:ascii="Arial" w:hAnsi="Arial" w:cs="Arial"/>
          <w:sz w:val="19"/>
          <w:szCs w:val="19"/>
        </w:rPr>
        <w:t>a number of</w:t>
      </w:r>
      <w:proofErr w:type="gramEnd"/>
      <w:r w:rsidR="00600394" w:rsidRPr="00FC6471">
        <w:rPr>
          <w:rFonts w:ascii="Arial" w:hAnsi="Arial" w:cs="Arial"/>
          <w:sz w:val="19"/>
          <w:szCs w:val="19"/>
        </w:rPr>
        <w:t xml:space="preserve"> reasons. This includes monitoring the occupancy of the rental property, </w:t>
      </w:r>
      <w:proofErr w:type="gramStart"/>
      <w:r w:rsidR="00600394" w:rsidRPr="00FC6471">
        <w:rPr>
          <w:rFonts w:ascii="Arial" w:hAnsi="Arial" w:cs="Arial"/>
          <w:sz w:val="19"/>
          <w:szCs w:val="19"/>
        </w:rPr>
        <w:t>and also</w:t>
      </w:r>
      <w:proofErr w:type="gramEnd"/>
      <w:r w:rsidR="00600394" w:rsidRPr="00FC6471">
        <w:rPr>
          <w:rFonts w:ascii="Arial" w:hAnsi="Arial" w:cs="Arial"/>
          <w:sz w:val="19"/>
          <w:szCs w:val="19"/>
        </w:rPr>
        <w:t xml:space="preserve"> monitoring for any threat of eviction and that the relationship between the property owner and tenant is functional.</w:t>
      </w:r>
    </w:p>
    <w:p w14:paraId="0F8E40A1" w14:textId="77777777" w:rsidR="00F2655F" w:rsidRPr="00FC6471" w:rsidRDefault="00F2655F" w:rsidP="00FC6471">
      <w:pPr>
        <w:jc w:val="both"/>
        <w:rPr>
          <w:rFonts w:ascii="Arial" w:hAnsi="Arial" w:cs="Arial"/>
          <w:sz w:val="19"/>
          <w:szCs w:val="19"/>
        </w:rPr>
      </w:pPr>
      <w:r w:rsidRPr="00FC6471">
        <w:rPr>
          <w:rFonts w:ascii="Arial" w:hAnsi="Arial" w:cs="Arial"/>
          <w:noProof/>
          <w:sz w:val="19"/>
          <w:szCs w:val="19"/>
        </w:rPr>
        <mc:AlternateContent>
          <mc:Choice Requires="wps">
            <w:drawing>
              <wp:anchor distT="45720" distB="45720" distL="114300" distR="114300" simplePos="0" relativeHeight="251658240" behindDoc="0" locked="0" layoutInCell="1" allowOverlap="1" wp14:anchorId="5F521BE8" wp14:editId="0E75D796">
                <wp:simplePos x="0" y="0"/>
                <wp:positionH relativeFrom="column">
                  <wp:posOffset>-7620</wp:posOffset>
                </wp:positionH>
                <wp:positionV relativeFrom="paragraph">
                  <wp:posOffset>333375</wp:posOffset>
                </wp:positionV>
                <wp:extent cx="5784850" cy="1029335"/>
                <wp:effectExtent l="0" t="0" r="6350" b="0"/>
                <wp:wrapSquare wrapText="bothSides"/>
                <wp:docPr id="733933811" name="Text Box 73393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029335"/>
                        </a:xfrm>
                        <a:prstGeom prst="rect">
                          <a:avLst/>
                        </a:prstGeom>
                        <a:solidFill>
                          <a:srgbClr val="FEF5F4"/>
                        </a:solidFill>
                        <a:ln w="9525">
                          <a:noFill/>
                          <a:miter lim="800000"/>
                          <a:headEnd/>
                          <a:tailEnd/>
                        </a:ln>
                      </wps:spPr>
                      <wps:txbx>
                        <w:txbxContent>
                          <w:p w14:paraId="28686174" w14:textId="29970FDF" w:rsidR="00F2655F" w:rsidRPr="00FC6471" w:rsidRDefault="007F4C47" w:rsidP="007F4C47">
                            <w:pPr>
                              <w:pStyle w:val="ListParagraph"/>
                              <w:numPr>
                                <w:ilvl w:val="0"/>
                                <w:numId w:val="2"/>
                              </w:numPr>
                              <w:rPr>
                                <w:rFonts w:ascii="Arial" w:hAnsi="Arial" w:cs="Arial"/>
                                <w:sz w:val="19"/>
                                <w:szCs w:val="19"/>
                              </w:rPr>
                            </w:pPr>
                            <w:r w:rsidRPr="00FC6471">
                              <w:rPr>
                                <w:rFonts w:ascii="Arial" w:hAnsi="Arial" w:cs="Arial"/>
                                <w:sz w:val="19"/>
                                <w:szCs w:val="19"/>
                              </w:rPr>
                              <w:t>2.2.2_Example_MonitoringFormLayoutKobo_RentalAssistance.docx and 2.2.2_Example_MonitoringForm_RentalAssistance.xlsx</w:t>
                            </w:r>
                          </w:p>
                          <w:p w14:paraId="36188B02" w14:textId="7EABDF3C" w:rsidR="007F4C47" w:rsidRPr="00FC6471" w:rsidRDefault="007F4C47" w:rsidP="007F4C47">
                            <w:pPr>
                              <w:pStyle w:val="ListParagraph"/>
                              <w:numPr>
                                <w:ilvl w:val="1"/>
                                <w:numId w:val="2"/>
                              </w:numPr>
                              <w:rPr>
                                <w:rFonts w:ascii="Arial" w:hAnsi="Arial" w:cs="Arial"/>
                                <w:sz w:val="19"/>
                                <w:szCs w:val="19"/>
                              </w:rPr>
                            </w:pPr>
                            <w:r w:rsidRPr="00FC6471">
                              <w:rPr>
                                <w:rFonts w:ascii="Arial" w:hAnsi="Arial" w:cs="Arial"/>
                                <w:sz w:val="19"/>
                                <w:szCs w:val="19"/>
                              </w:rPr>
                              <w:t xml:space="preserve">This is an example of a form used to monitor the occupancy, and the relationship and any problems with both property owner and tenant. It can be completed through phone calls </w:t>
                            </w:r>
                            <w:proofErr w:type="gramStart"/>
                            <w:r w:rsidRPr="00FC6471">
                              <w:rPr>
                                <w:rFonts w:ascii="Arial" w:hAnsi="Arial" w:cs="Arial"/>
                                <w:sz w:val="19"/>
                                <w:szCs w:val="19"/>
                              </w:rPr>
                              <w:t>and also</w:t>
                            </w:r>
                            <w:proofErr w:type="gramEnd"/>
                            <w:r w:rsidRPr="00FC6471">
                              <w:rPr>
                                <w:rFonts w:ascii="Arial" w:hAnsi="Arial" w:cs="Arial"/>
                                <w:sz w:val="19"/>
                                <w:szCs w:val="19"/>
                              </w:rPr>
                              <w:t xml:space="preserve"> face-to-face visits. It was used on the </w:t>
                            </w:r>
                            <w:r w:rsidR="003821DC">
                              <w:rPr>
                                <w:rFonts w:ascii="Arial" w:hAnsi="Arial" w:cs="Arial"/>
                                <w:kern w:val="0"/>
                                <w:sz w:val="19"/>
                                <w:szCs w:val="19"/>
                                <w14:ligatures w14:val="none"/>
                              </w:rPr>
                              <w:t xml:space="preserve">2022-2023 Ukraine </w:t>
                            </w:r>
                            <w:r w:rsidRPr="00FC6471">
                              <w:rPr>
                                <w:rFonts w:ascii="Arial" w:hAnsi="Arial" w:cs="Arial"/>
                                <w:sz w:val="19"/>
                                <w:szCs w:val="19"/>
                              </w:rPr>
                              <w:t>response in Slovakia.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21BE8" id="_x0000_t202" coordsize="21600,21600" o:spt="202" path="m,l,21600r21600,l21600,xe">
                <v:stroke joinstyle="miter"/>
                <v:path gradientshapeok="t" o:connecttype="rect"/>
              </v:shapetype>
              <v:shape id="Text Box 733933811" o:spid="_x0000_s1026" type="#_x0000_t202" style="position:absolute;left:0;text-align:left;margin-left:-.6pt;margin-top:26.25pt;width:455.5pt;height:81.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" fillcolor="#fef5f4" stroked="f">
                <v:textbox>
                  <w:txbxContent>
                    <w:p w14:paraId="28686174" w14:textId="29970FDF" w:rsidR="00F2655F" w:rsidRPr="00FC6471" w:rsidRDefault="007F4C47" w:rsidP="007F4C47">
                      <w:pPr>
                        <w:pStyle w:val="ListParagraph"/>
                        <w:numPr>
                          <w:ilvl w:val="0"/>
                          <w:numId w:val="2"/>
                        </w:numPr>
                        <w:rPr>
                          <w:rFonts w:ascii="Arial" w:hAnsi="Arial" w:cs="Arial"/>
                          <w:sz w:val="19"/>
                          <w:szCs w:val="19"/>
                        </w:rPr>
                      </w:pPr>
                      <w:r w:rsidRPr="00FC6471">
                        <w:rPr>
                          <w:rFonts w:ascii="Arial" w:hAnsi="Arial" w:cs="Arial"/>
                          <w:sz w:val="19"/>
                          <w:szCs w:val="19"/>
                        </w:rPr>
                        <w:t>2.2.2_Example_MonitoringFormLayoutKobo_RentalAssistance.docx and 2.2.2_Example_MonitoringForm_RentalAssistance.xlsx</w:t>
                      </w:r>
                    </w:p>
                    <w:p w14:paraId="36188B02" w14:textId="7EABDF3C" w:rsidR="007F4C47" w:rsidRPr="00FC6471" w:rsidRDefault="007F4C47" w:rsidP="007F4C47">
                      <w:pPr>
                        <w:pStyle w:val="ListParagraph"/>
                        <w:numPr>
                          <w:ilvl w:val="1"/>
                          <w:numId w:val="2"/>
                        </w:numPr>
                        <w:rPr>
                          <w:rFonts w:ascii="Arial" w:hAnsi="Arial" w:cs="Arial"/>
                          <w:sz w:val="19"/>
                          <w:szCs w:val="19"/>
                        </w:rPr>
                      </w:pPr>
                      <w:r w:rsidRPr="00FC6471">
                        <w:rPr>
                          <w:rFonts w:ascii="Arial" w:hAnsi="Arial" w:cs="Arial"/>
                          <w:sz w:val="19"/>
                          <w:szCs w:val="19"/>
                        </w:rPr>
                        <w:t xml:space="preserve">This is an example of a form used to monitor the occupancy, and the relationship and any problems with both property owner and tenant. It can be completed through phone calls </w:t>
                      </w:r>
                      <w:proofErr w:type="gramStart"/>
                      <w:r w:rsidRPr="00FC6471">
                        <w:rPr>
                          <w:rFonts w:ascii="Arial" w:hAnsi="Arial" w:cs="Arial"/>
                          <w:sz w:val="19"/>
                          <w:szCs w:val="19"/>
                        </w:rPr>
                        <w:t>and also</w:t>
                      </w:r>
                      <w:proofErr w:type="gramEnd"/>
                      <w:r w:rsidRPr="00FC6471">
                        <w:rPr>
                          <w:rFonts w:ascii="Arial" w:hAnsi="Arial" w:cs="Arial"/>
                          <w:sz w:val="19"/>
                          <w:szCs w:val="19"/>
                        </w:rPr>
                        <w:t xml:space="preserve"> face-to-face visits. It was used on the </w:t>
                      </w:r>
                      <w:r w:rsidR="003821DC">
                        <w:rPr>
                          <w:rFonts w:ascii="Arial" w:hAnsi="Arial" w:cs="Arial"/>
                          <w:kern w:val="0"/>
                          <w:sz w:val="19"/>
                          <w:szCs w:val="19"/>
                          <w14:ligatures w14:val="none"/>
                        </w:rPr>
                        <w:t xml:space="preserve">2022-2023 Ukraine </w:t>
                      </w:r>
                      <w:r w:rsidRPr="00FC6471">
                        <w:rPr>
                          <w:rFonts w:ascii="Arial" w:hAnsi="Arial" w:cs="Arial"/>
                          <w:sz w:val="19"/>
                          <w:szCs w:val="19"/>
                        </w:rPr>
                        <w:t>response in Slovakia.</w:t>
                      </w:r>
                    </w:p>
                  </w:txbxContent>
                </v:textbox>
                <w10:wrap type="square"/>
              </v:shape>
            </w:pict>
          </mc:Fallback>
        </mc:AlternateContent>
      </w:r>
      <w:r w:rsidRPr="00FC6471">
        <w:rPr>
          <w:rFonts w:ascii="Arial" w:hAnsi="Arial" w:cs="Arial"/>
          <w:sz w:val="19"/>
          <w:szCs w:val="19"/>
        </w:rPr>
        <w:t>Tools and Examples from the toolkit, that may be useful to assist here include:</w:t>
      </w:r>
    </w:p>
    <w:p w14:paraId="2B041A7E" w14:textId="6F388C17" w:rsidR="00600394" w:rsidRPr="00FC6471" w:rsidRDefault="00600394" w:rsidP="00FC6471">
      <w:pPr>
        <w:pStyle w:val="Heading1"/>
        <w:jc w:val="both"/>
        <w:rPr>
          <w:rFonts w:ascii="Century Gothic" w:hAnsi="Century Gothic" w:cs="Arial"/>
          <w:b/>
          <w:bCs/>
          <w:color w:val="F5333F"/>
          <w:sz w:val="22"/>
          <w:szCs w:val="22"/>
        </w:rPr>
      </w:pPr>
      <w:r w:rsidRPr="00FC6471">
        <w:rPr>
          <w:rFonts w:ascii="Century Gothic" w:hAnsi="Century Gothic" w:cs="Arial"/>
          <w:b/>
          <w:bCs/>
          <w:color w:val="F5333F"/>
          <w:sz w:val="22"/>
          <w:szCs w:val="22"/>
        </w:rPr>
        <w:t xml:space="preserve">Occupancy </w:t>
      </w:r>
      <w:r w:rsidR="00C2384B" w:rsidRPr="00FC6471">
        <w:rPr>
          <w:rFonts w:ascii="Century Gothic" w:hAnsi="Century Gothic" w:cs="Arial"/>
          <w:b/>
          <w:bCs/>
          <w:color w:val="F5333F"/>
          <w:sz w:val="22"/>
          <w:szCs w:val="22"/>
        </w:rPr>
        <w:t>m</w:t>
      </w:r>
      <w:r w:rsidRPr="00FC6471">
        <w:rPr>
          <w:rFonts w:ascii="Century Gothic" w:hAnsi="Century Gothic" w:cs="Arial"/>
          <w:b/>
          <w:bCs/>
          <w:color w:val="F5333F"/>
          <w:sz w:val="22"/>
          <w:szCs w:val="22"/>
        </w:rPr>
        <w:t>onitoring</w:t>
      </w:r>
      <w:r w:rsidR="00C2384B" w:rsidRPr="00FC6471">
        <w:rPr>
          <w:rFonts w:ascii="Century Gothic" w:hAnsi="Century Gothic" w:cs="Arial"/>
          <w:b/>
          <w:bCs/>
          <w:color w:val="F5333F"/>
          <w:sz w:val="22"/>
          <w:szCs w:val="22"/>
        </w:rPr>
        <w:t xml:space="preserve"> &amp; monitoring during tenancy</w:t>
      </w:r>
    </w:p>
    <w:p w14:paraId="1A54180F" w14:textId="474C2DE0" w:rsidR="00600394" w:rsidRPr="00FC6471" w:rsidRDefault="00FC6471" w:rsidP="00FC6471">
      <w:pPr>
        <w:jc w:val="both"/>
        <w:rPr>
          <w:rFonts w:ascii="Arial" w:hAnsi="Arial" w:cs="Arial"/>
          <w:sz w:val="19"/>
          <w:szCs w:val="19"/>
        </w:rPr>
      </w:pPr>
      <w:r>
        <w:rPr>
          <w:rFonts w:ascii="Arial" w:hAnsi="Arial" w:cs="Arial"/>
          <w:sz w:val="19"/>
          <w:szCs w:val="19"/>
        </w:rPr>
        <w:br/>
      </w:r>
      <w:r w:rsidR="00600394" w:rsidRPr="00FC6471">
        <w:rPr>
          <w:rFonts w:ascii="Arial" w:hAnsi="Arial" w:cs="Arial"/>
          <w:sz w:val="19"/>
          <w:szCs w:val="19"/>
        </w:rPr>
        <w:t>This can be incorporated into other monitoring activities if</w:t>
      </w:r>
      <w:r w:rsidR="008E16B3" w:rsidRPr="00FC6471">
        <w:rPr>
          <w:rFonts w:ascii="Arial" w:hAnsi="Arial" w:cs="Arial"/>
          <w:sz w:val="19"/>
          <w:szCs w:val="19"/>
        </w:rPr>
        <w:t>,</w:t>
      </w:r>
      <w:r w:rsidR="00600394" w:rsidRPr="00FC6471">
        <w:rPr>
          <w:rFonts w:ascii="Arial" w:hAnsi="Arial" w:cs="Arial"/>
          <w:sz w:val="19"/>
          <w:szCs w:val="19"/>
        </w:rPr>
        <w:t xml:space="preserve"> for example</w:t>
      </w:r>
      <w:r w:rsidR="008E16B3" w:rsidRPr="00FC6471">
        <w:rPr>
          <w:rFonts w:ascii="Arial" w:hAnsi="Arial" w:cs="Arial"/>
          <w:sz w:val="19"/>
          <w:szCs w:val="19"/>
        </w:rPr>
        <w:t>,</w:t>
      </w:r>
      <w:r w:rsidR="00600394" w:rsidRPr="00FC6471">
        <w:rPr>
          <w:rFonts w:ascii="Arial" w:hAnsi="Arial" w:cs="Arial"/>
          <w:sz w:val="19"/>
          <w:szCs w:val="19"/>
        </w:rPr>
        <w:t xml:space="preserve"> the household is visited as part of integration support, however, on some programmes there may need to be </w:t>
      </w:r>
      <w:r w:rsidR="003821DC" w:rsidRPr="00FC6471">
        <w:rPr>
          <w:rFonts w:ascii="Arial" w:hAnsi="Arial" w:cs="Arial"/>
          <w:sz w:val="19"/>
          <w:szCs w:val="19"/>
        </w:rPr>
        <w:t>stand-alone</w:t>
      </w:r>
      <w:r w:rsidR="00600394" w:rsidRPr="00FC6471">
        <w:rPr>
          <w:rFonts w:ascii="Arial" w:hAnsi="Arial" w:cs="Arial"/>
          <w:sz w:val="19"/>
          <w:szCs w:val="19"/>
        </w:rPr>
        <w:t xml:space="preserve"> occupancy monitoring. This is often carried out prior to a further rental payment being made.</w:t>
      </w:r>
    </w:p>
    <w:p w14:paraId="3E720829" w14:textId="7B566D67" w:rsidR="00600394" w:rsidRPr="00FC6471" w:rsidRDefault="00600394" w:rsidP="00FC6471">
      <w:pPr>
        <w:jc w:val="both"/>
        <w:rPr>
          <w:rFonts w:ascii="Arial" w:hAnsi="Arial" w:cs="Arial"/>
          <w:sz w:val="19"/>
          <w:szCs w:val="19"/>
        </w:rPr>
      </w:pPr>
      <w:r w:rsidRPr="00FC6471">
        <w:rPr>
          <w:rFonts w:ascii="Arial" w:hAnsi="Arial" w:cs="Arial"/>
          <w:sz w:val="19"/>
          <w:szCs w:val="19"/>
        </w:rPr>
        <w:t xml:space="preserve">This can be undertaken in </w:t>
      </w:r>
      <w:proofErr w:type="gramStart"/>
      <w:r w:rsidRPr="00FC6471">
        <w:rPr>
          <w:rFonts w:ascii="Arial" w:hAnsi="Arial" w:cs="Arial"/>
          <w:sz w:val="19"/>
          <w:szCs w:val="19"/>
        </w:rPr>
        <w:t>a number of</w:t>
      </w:r>
      <w:proofErr w:type="gramEnd"/>
      <w:r w:rsidRPr="00FC6471">
        <w:rPr>
          <w:rFonts w:ascii="Arial" w:hAnsi="Arial" w:cs="Arial"/>
          <w:sz w:val="19"/>
          <w:szCs w:val="19"/>
        </w:rPr>
        <w:t xml:space="preserve"> ways:</w:t>
      </w:r>
    </w:p>
    <w:p w14:paraId="26CB9C20" w14:textId="77EB0A30" w:rsidR="00600394" w:rsidRPr="00FC6471" w:rsidRDefault="00600394" w:rsidP="00FC6471">
      <w:pPr>
        <w:pStyle w:val="ListParagraph"/>
        <w:numPr>
          <w:ilvl w:val="0"/>
          <w:numId w:val="14"/>
        </w:numPr>
        <w:jc w:val="both"/>
        <w:rPr>
          <w:rFonts w:ascii="Arial" w:hAnsi="Arial" w:cs="Arial"/>
          <w:sz w:val="19"/>
          <w:szCs w:val="19"/>
        </w:rPr>
      </w:pPr>
      <w:r w:rsidRPr="00FC6471">
        <w:rPr>
          <w:rFonts w:ascii="Arial" w:hAnsi="Arial" w:cs="Arial"/>
          <w:sz w:val="19"/>
          <w:szCs w:val="19"/>
        </w:rPr>
        <w:t>Calls to the tenant to ask them if they are still living in the property that was rented under the rental programme</w:t>
      </w:r>
      <w:r w:rsidR="00AA3AA9">
        <w:rPr>
          <w:rFonts w:ascii="Arial" w:hAnsi="Arial" w:cs="Arial"/>
          <w:sz w:val="19"/>
          <w:szCs w:val="19"/>
        </w:rPr>
        <w:t>. N</w:t>
      </w:r>
      <w:r w:rsidRPr="00FC6471">
        <w:rPr>
          <w:rFonts w:ascii="Arial" w:hAnsi="Arial" w:cs="Arial"/>
          <w:sz w:val="19"/>
          <w:szCs w:val="19"/>
        </w:rPr>
        <w:t xml:space="preserve">ormally as part of this process it will have been pre-agreed as part of the orientation on the programme that the tenant will accept the call as a video call (note that a prior appointment may need to have been made </w:t>
      </w:r>
      <w:r w:rsidR="008E16B3" w:rsidRPr="00FC6471">
        <w:rPr>
          <w:rFonts w:ascii="Arial" w:hAnsi="Arial" w:cs="Arial"/>
          <w:sz w:val="19"/>
          <w:szCs w:val="19"/>
        </w:rPr>
        <w:t>during</w:t>
      </w:r>
      <w:r w:rsidRPr="00FC6471">
        <w:rPr>
          <w:rFonts w:ascii="Arial" w:hAnsi="Arial" w:cs="Arial"/>
          <w:sz w:val="19"/>
          <w:szCs w:val="19"/>
        </w:rPr>
        <w:t xml:space="preserve"> a window of time </w:t>
      </w:r>
      <w:r w:rsidR="008E16B3" w:rsidRPr="00FC6471">
        <w:rPr>
          <w:rFonts w:ascii="Arial" w:hAnsi="Arial" w:cs="Arial"/>
          <w:sz w:val="19"/>
          <w:szCs w:val="19"/>
        </w:rPr>
        <w:t xml:space="preserve">on </w:t>
      </w:r>
      <w:r w:rsidRPr="00FC6471">
        <w:rPr>
          <w:rFonts w:ascii="Arial" w:hAnsi="Arial" w:cs="Arial"/>
          <w:sz w:val="19"/>
          <w:szCs w:val="19"/>
        </w:rPr>
        <w:t xml:space="preserve">a specific day) and that a live location will be shared during the call. </w:t>
      </w:r>
    </w:p>
    <w:p w14:paraId="0F71E62E" w14:textId="5BE48D9B" w:rsidR="005776E6" w:rsidRPr="00FC6471" w:rsidRDefault="005776E6" w:rsidP="00FC6471">
      <w:pPr>
        <w:pStyle w:val="ListParagraph"/>
        <w:numPr>
          <w:ilvl w:val="0"/>
          <w:numId w:val="14"/>
        </w:numPr>
        <w:jc w:val="both"/>
        <w:rPr>
          <w:rFonts w:ascii="Arial" w:hAnsi="Arial" w:cs="Arial"/>
          <w:sz w:val="19"/>
          <w:szCs w:val="19"/>
        </w:rPr>
      </w:pPr>
      <w:r w:rsidRPr="00FC6471">
        <w:rPr>
          <w:rFonts w:ascii="Arial" w:hAnsi="Arial" w:cs="Arial"/>
          <w:sz w:val="19"/>
          <w:szCs w:val="19"/>
        </w:rPr>
        <w:t>Use of the postal service to issue a letter with a unique reference code/ QR code, that the tenant then uses to complete a survey.</w:t>
      </w:r>
    </w:p>
    <w:p w14:paraId="3F8260BD" w14:textId="4CB51793" w:rsidR="00600394" w:rsidRPr="00FC6471" w:rsidRDefault="00600394" w:rsidP="00FC6471">
      <w:pPr>
        <w:pStyle w:val="ListParagraph"/>
        <w:numPr>
          <w:ilvl w:val="0"/>
          <w:numId w:val="14"/>
        </w:numPr>
        <w:jc w:val="both"/>
        <w:rPr>
          <w:rFonts w:ascii="Arial" w:hAnsi="Arial" w:cs="Arial"/>
          <w:sz w:val="19"/>
          <w:szCs w:val="19"/>
        </w:rPr>
      </w:pPr>
      <w:r w:rsidRPr="00FC6471">
        <w:rPr>
          <w:rFonts w:ascii="Arial" w:hAnsi="Arial" w:cs="Arial"/>
          <w:sz w:val="19"/>
          <w:szCs w:val="19"/>
        </w:rPr>
        <w:t>Calls to</w:t>
      </w:r>
      <w:r w:rsidR="005776E6" w:rsidRPr="00FC6471">
        <w:rPr>
          <w:rFonts w:ascii="Arial" w:hAnsi="Arial" w:cs="Arial"/>
          <w:sz w:val="19"/>
          <w:szCs w:val="19"/>
        </w:rPr>
        <w:t xml:space="preserve"> both</w:t>
      </w:r>
      <w:r w:rsidRPr="00FC6471">
        <w:rPr>
          <w:rFonts w:ascii="Arial" w:hAnsi="Arial" w:cs="Arial"/>
          <w:sz w:val="19"/>
          <w:szCs w:val="19"/>
        </w:rPr>
        <w:t xml:space="preserve"> the tenant and the property owner to </w:t>
      </w:r>
      <w:r w:rsidR="005776E6" w:rsidRPr="00FC6471">
        <w:rPr>
          <w:rFonts w:ascii="Arial" w:hAnsi="Arial" w:cs="Arial"/>
          <w:sz w:val="19"/>
          <w:szCs w:val="19"/>
        </w:rPr>
        <w:t>cross-check</w:t>
      </w:r>
      <w:r w:rsidRPr="00FC6471">
        <w:rPr>
          <w:rFonts w:ascii="Arial" w:hAnsi="Arial" w:cs="Arial"/>
          <w:sz w:val="19"/>
          <w:szCs w:val="19"/>
        </w:rPr>
        <w:t xml:space="preserve"> occupation</w:t>
      </w:r>
      <w:r w:rsidR="005776E6" w:rsidRPr="00FC6471">
        <w:rPr>
          <w:rFonts w:ascii="Arial" w:hAnsi="Arial" w:cs="Arial"/>
          <w:sz w:val="19"/>
          <w:szCs w:val="19"/>
        </w:rPr>
        <w:t xml:space="preserve"> with the property owner. This can sometimes be incorporated as part of monitoring the relationship with the property owner.</w:t>
      </w:r>
    </w:p>
    <w:p w14:paraId="78F96B94" w14:textId="3C763BA7" w:rsidR="00600394" w:rsidRPr="00FC6471" w:rsidRDefault="00600394" w:rsidP="00FC6471">
      <w:pPr>
        <w:pStyle w:val="ListParagraph"/>
        <w:numPr>
          <w:ilvl w:val="0"/>
          <w:numId w:val="14"/>
        </w:numPr>
        <w:jc w:val="both"/>
        <w:rPr>
          <w:rFonts w:ascii="Arial" w:hAnsi="Arial" w:cs="Arial"/>
          <w:sz w:val="19"/>
          <w:szCs w:val="19"/>
        </w:rPr>
      </w:pPr>
      <w:r w:rsidRPr="00FC6471">
        <w:rPr>
          <w:rFonts w:ascii="Arial" w:hAnsi="Arial" w:cs="Arial"/>
          <w:sz w:val="19"/>
          <w:szCs w:val="19"/>
        </w:rPr>
        <w:t>Face-to-face visits by staff and volunteers to the property, ideally incorporated into another activity</w:t>
      </w:r>
      <w:r w:rsidR="005776E6" w:rsidRPr="00FC6471">
        <w:rPr>
          <w:rFonts w:ascii="Arial" w:hAnsi="Arial" w:cs="Arial"/>
          <w:sz w:val="19"/>
          <w:szCs w:val="19"/>
        </w:rPr>
        <w:t xml:space="preserve"> such as integration support visits.</w:t>
      </w:r>
    </w:p>
    <w:p w14:paraId="1B8BACEF" w14:textId="025D9F58" w:rsidR="2119EF81" w:rsidRPr="00FC6471" w:rsidRDefault="2119EF81" w:rsidP="00FC6471">
      <w:pPr>
        <w:jc w:val="both"/>
        <w:rPr>
          <w:rFonts w:ascii="Arial" w:hAnsi="Arial" w:cs="Arial"/>
          <w:sz w:val="19"/>
          <w:szCs w:val="19"/>
        </w:rPr>
      </w:pPr>
      <w:r w:rsidRPr="00FC6471">
        <w:rPr>
          <w:rFonts w:ascii="Arial" w:hAnsi="Arial" w:cs="Arial"/>
          <w:sz w:val="19"/>
          <w:szCs w:val="19"/>
        </w:rPr>
        <w:t>Integration of Safeguarding Considerations into Monitoring:</w:t>
      </w:r>
    </w:p>
    <w:p w14:paraId="1A70B0A8" w14:textId="7DC37C42" w:rsidR="4A2D38D6" w:rsidRPr="00FC6471" w:rsidRDefault="4A2D38D6" w:rsidP="00FC6471">
      <w:pPr>
        <w:pStyle w:val="ListParagraph"/>
        <w:numPr>
          <w:ilvl w:val="0"/>
          <w:numId w:val="1"/>
        </w:numPr>
        <w:jc w:val="both"/>
        <w:rPr>
          <w:rFonts w:ascii="Arial" w:hAnsi="Arial" w:cs="Arial"/>
          <w:sz w:val="19"/>
          <w:szCs w:val="19"/>
        </w:rPr>
      </w:pPr>
      <w:r w:rsidRPr="00FC6471">
        <w:rPr>
          <w:rFonts w:ascii="Arial" w:hAnsi="Arial" w:cs="Arial"/>
          <w:sz w:val="19"/>
          <w:szCs w:val="19"/>
        </w:rPr>
        <w:t xml:space="preserve">In all actions a “Do No Harm” approach, which </w:t>
      </w:r>
      <w:r w:rsidR="00780477" w:rsidRPr="00FC6471">
        <w:rPr>
          <w:rFonts w:ascii="Arial" w:hAnsi="Arial" w:cs="Arial"/>
          <w:sz w:val="19"/>
          <w:szCs w:val="19"/>
        </w:rPr>
        <w:t>acknowledges</w:t>
      </w:r>
      <w:r w:rsidRPr="00FC6471">
        <w:rPr>
          <w:rFonts w:ascii="Arial" w:hAnsi="Arial" w:cs="Arial"/>
          <w:sz w:val="19"/>
          <w:szCs w:val="19"/>
        </w:rPr>
        <w:t xml:space="preserve"> the unequal power dynamics between the tenant and the owner, needs to be taken. </w:t>
      </w:r>
    </w:p>
    <w:p w14:paraId="7453AF39" w14:textId="00201A3E" w:rsidR="66DE5793" w:rsidRPr="00FC6471" w:rsidRDefault="66DE5793" w:rsidP="00FC6471">
      <w:pPr>
        <w:pStyle w:val="ListParagraph"/>
        <w:numPr>
          <w:ilvl w:val="0"/>
          <w:numId w:val="1"/>
        </w:numPr>
        <w:jc w:val="both"/>
        <w:rPr>
          <w:rFonts w:ascii="Arial" w:hAnsi="Arial" w:cs="Arial"/>
          <w:sz w:val="19"/>
          <w:szCs w:val="19"/>
        </w:rPr>
      </w:pPr>
      <w:r w:rsidRPr="00FC6471">
        <w:rPr>
          <w:rFonts w:ascii="Arial" w:hAnsi="Arial" w:cs="Arial"/>
          <w:sz w:val="19"/>
          <w:szCs w:val="19"/>
        </w:rPr>
        <w:t xml:space="preserve">Staff and volunteers need to be aware that it is not their role to investigate safeguarding concerns, but rather to report them and ensure a survivor-centred approach. </w:t>
      </w:r>
    </w:p>
    <w:p w14:paraId="260E6205" w14:textId="3B63366B" w:rsidR="151B18AE" w:rsidRPr="00FC6471" w:rsidRDefault="151B18AE" w:rsidP="00FC6471">
      <w:pPr>
        <w:pStyle w:val="ListParagraph"/>
        <w:numPr>
          <w:ilvl w:val="0"/>
          <w:numId w:val="1"/>
        </w:numPr>
        <w:jc w:val="both"/>
        <w:rPr>
          <w:rFonts w:ascii="Arial" w:hAnsi="Arial" w:cs="Arial"/>
          <w:sz w:val="19"/>
          <w:szCs w:val="19"/>
        </w:rPr>
      </w:pPr>
      <w:r w:rsidRPr="00FC6471">
        <w:rPr>
          <w:rFonts w:ascii="Arial" w:hAnsi="Arial" w:cs="Arial"/>
          <w:sz w:val="19"/>
          <w:szCs w:val="19"/>
        </w:rPr>
        <w:t>Information on inappropriate behaviour, reporting mechanisms, and organi</w:t>
      </w:r>
      <w:r w:rsidR="00D855FB">
        <w:rPr>
          <w:rFonts w:ascii="Arial" w:hAnsi="Arial" w:cs="Arial"/>
          <w:sz w:val="19"/>
          <w:szCs w:val="19"/>
        </w:rPr>
        <w:t>s</w:t>
      </w:r>
      <w:r w:rsidRPr="00FC6471">
        <w:rPr>
          <w:rFonts w:ascii="Arial" w:hAnsi="Arial" w:cs="Arial"/>
          <w:sz w:val="19"/>
          <w:szCs w:val="19"/>
        </w:rPr>
        <w:t>ations offering tailored protection support (such as local anti-trafficking organi</w:t>
      </w:r>
      <w:r w:rsidR="00D855FB">
        <w:rPr>
          <w:rFonts w:ascii="Arial" w:hAnsi="Arial" w:cs="Arial"/>
          <w:sz w:val="19"/>
          <w:szCs w:val="19"/>
        </w:rPr>
        <w:t>s</w:t>
      </w:r>
      <w:r w:rsidRPr="00FC6471">
        <w:rPr>
          <w:rFonts w:ascii="Arial" w:hAnsi="Arial" w:cs="Arial"/>
          <w:sz w:val="19"/>
          <w:szCs w:val="19"/>
        </w:rPr>
        <w:t xml:space="preserve">ations) should be proactively shared with both owners and tenants. </w:t>
      </w:r>
    </w:p>
    <w:p w14:paraId="7A0E69C4" w14:textId="66938940" w:rsidR="2119EF81" w:rsidRPr="00FC6471" w:rsidRDefault="2119EF81" w:rsidP="00FC6471">
      <w:pPr>
        <w:pStyle w:val="ListParagraph"/>
        <w:numPr>
          <w:ilvl w:val="0"/>
          <w:numId w:val="1"/>
        </w:numPr>
        <w:jc w:val="both"/>
        <w:rPr>
          <w:rFonts w:ascii="Arial" w:hAnsi="Arial" w:cs="Arial"/>
          <w:sz w:val="19"/>
          <w:szCs w:val="19"/>
        </w:rPr>
      </w:pPr>
      <w:r w:rsidRPr="00FC6471">
        <w:rPr>
          <w:rFonts w:ascii="Arial" w:hAnsi="Arial" w:cs="Arial"/>
          <w:sz w:val="19"/>
          <w:szCs w:val="19"/>
        </w:rPr>
        <w:t>Ensure that all owners and tenants have information about and access to an anonymous reporting mechanism where they can make complaints and receive referrals</w:t>
      </w:r>
      <w:r w:rsidR="009C1B8B">
        <w:rPr>
          <w:rFonts w:ascii="Arial" w:hAnsi="Arial" w:cs="Arial"/>
          <w:sz w:val="19"/>
          <w:szCs w:val="19"/>
        </w:rPr>
        <w:t>, such</w:t>
      </w:r>
      <w:r w:rsidRPr="00FC6471">
        <w:rPr>
          <w:rFonts w:ascii="Arial" w:hAnsi="Arial" w:cs="Arial"/>
          <w:sz w:val="19"/>
          <w:szCs w:val="19"/>
        </w:rPr>
        <w:t xml:space="preserve"> </w:t>
      </w:r>
      <w:r w:rsidR="5FBED4B2" w:rsidRPr="00FC6471">
        <w:rPr>
          <w:rFonts w:ascii="Arial" w:hAnsi="Arial" w:cs="Arial"/>
          <w:sz w:val="19"/>
          <w:szCs w:val="19"/>
        </w:rPr>
        <w:t xml:space="preserve">as an Integrity Line. Ensure that information </w:t>
      </w:r>
      <w:r w:rsidR="009C1B8B">
        <w:rPr>
          <w:rFonts w:ascii="Arial" w:hAnsi="Arial" w:cs="Arial"/>
          <w:sz w:val="19"/>
          <w:szCs w:val="19"/>
        </w:rPr>
        <w:t>about</w:t>
      </w:r>
      <w:r w:rsidR="5FBED4B2" w:rsidRPr="00FC6471">
        <w:rPr>
          <w:rFonts w:ascii="Arial" w:hAnsi="Arial" w:cs="Arial"/>
          <w:sz w:val="19"/>
          <w:szCs w:val="19"/>
        </w:rPr>
        <w:t xml:space="preserve"> this Integrity Line is shared widely and included in all communications. </w:t>
      </w:r>
    </w:p>
    <w:p w14:paraId="7036160A" w14:textId="74747C77" w:rsidR="5FBED4B2" w:rsidRPr="00FC6471" w:rsidRDefault="5FBED4B2" w:rsidP="00FC6471">
      <w:pPr>
        <w:pStyle w:val="ListParagraph"/>
        <w:numPr>
          <w:ilvl w:val="0"/>
          <w:numId w:val="1"/>
        </w:numPr>
        <w:jc w:val="both"/>
        <w:rPr>
          <w:rFonts w:ascii="Arial" w:hAnsi="Arial" w:cs="Arial"/>
          <w:sz w:val="19"/>
          <w:szCs w:val="19"/>
        </w:rPr>
      </w:pPr>
      <w:r w:rsidRPr="00FC6471">
        <w:rPr>
          <w:rFonts w:ascii="Arial" w:hAnsi="Arial" w:cs="Arial"/>
          <w:sz w:val="19"/>
          <w:szCs w:val="19"/>
        </w:rPr>
        <w:lastRenderedPageBreak/>
        <w:t>Ensure that all staff and volunteers are aware of referral pathways and procedures, for example how to safely ref</w:t>
      </w:r>
      <w:r w:rsidR="56A208B1" w:rsidRPr="00FC6471">
        <w:rPr>
          <w:rFonts w:ascii="Arial" w:hAnsi="Arial" w:cs="Arial"/>
          <w:sz w:val="19"/>
          <w:szCs w:val="19"/>
        </w:rPr>
        <w:t>er a survivor of sexual and gender-based violence to an organi</w:t>
      </w:r>
      <w:r w:rsidR="009C1B8B">
        <w:rPr>
          <w:rFonts w:ascii="Arial" w:hAnsi="Arial" w:cs="Arial"/>
          <w:sz w:val="19"/>
          <w:szCs w:val="19"/>
        </w:rPr>
        <w:t>s</w:t>
      </w:r>
      <w:r w:rsidR="56A208B1" w:rsidRPr="00FC6471">
        <w:rPr>
          <w:rFonts w:ascii="Arial" w:hAnsi="Arial" w:cs="Arial"/>
          <w:sz w:val="19"/>
          <w:szCs w:val="19"/>
        </w:rPr>
        <w:t>ation that can provide specific support</w:t>
      </w:r>
      <w:r w:rsidR="1B15B170" w:rsidRPr="00FC6471">
        <w:rPr>
          <w:rFonts w:ascii="Arial" w:hAnsi="Arial" w:cs="Arial"/>
          <w:sz w:val="19"/>
          <w:szCs w:val="19"/>
        </w:rPr>
        <w:t xml:space="preserve">. Referral pathways should be shared widely and updated regularly. </w:t>
      </w:r>
    </w:p>
    <w:p w14:paraId="5279CA0F" w14:textId="4647349C" w:rsidR="00600394" w:rsidRPr="00FC6471" w:rsidRDefault="005776E6" w:rsidP="00FC6471">
      <w:pPr>
        <w:pStyle w:val="Heading1"/>
        <w:jc w:val="both"/>
        <w:rPr>
          <w:rFonts w:ascii="Century Gothic" w:hAnsi="Century Gothic" w:cs="Arial"/>
          <w:b/>
          <w:bCs/>
          <w:color w:val="F5333F"/>
          <w:sz w:val="22"/>
          <w:szCs w:val="22"/>
        </w:rPr>
      </w:pPr>
      <w:r w:rsidRPr="00FC6471">
        <w:rPr>
          <w:rFonts w:ascii="Century Gothic" w:hAnsi="Century Gothic" w:cs="Arial"/>
          <w:b/>
          <w:bCs/>
          <w:color w:val="F5333F"/>
          <w:sz w:val="22"/>
          <w:szCs w:val="22"/>
        </w:rPr>
        <w:t>Property owner and tenant relationship monitoring and eviction monitoring</w:t>
      </w:r>
    </w:p>
    <w:p w14:paraId="7EFDF5D0" w14:textId="345D7F15" w:rsidR="005776E6" w:rsidRPr="00FC6471" w:rsidRDefault="00FC6471" w:rsidP="00FC6471">
      <w:pPr>
        <w:jc w:val="both"/>
        <w:rPr>
          <w:rFonts w:ascii="Arial" w:hAnsi="Arial" w:cs="Arial"/>
          <w:sz w:val="19"/>
          <w:szCs w:val="19"/>
        </w:rPr>
      </w:pPr>
      <w:r>
        <w:rPr>
          <w:rFonts w:ascii="Arial" w:hAnsi="Arial" w:cs="Arial"/>
          <w:sz w:val="19"/>
          <w:szCs w:val="19"/>
        </w:rPr>
        <w:br/>
      </w:r>
      <w:r w:rsidR="005776E6" w:rsidRPr="00FC6471">
        <w:rPr>
          <w:rFonts w:ascii="Arial" w:hAnsi="Arial" w:cs="Arial"/>
          <w:sz w:val="19"/>
          <w:szCs w:val="19"/>
        </w:rPr>
        <w:t>This can be important because:</w:t>
      </w:r>
    </w:p>
    <w:p w14:paraId="5F922198" w14:textId="634732BD" w:rsidR="005776E6" w:rsidRPr="00FC6471" w:rsidRDefault="005776E6" w:rsidP="00FC6471">
      <w:pPr>
        <w:pStyle w:val="ListParagraph"/>
        <w:numPr>
          <w:ilvl w:val="0"/>
          <w:numId w:val="15"/>
        </w:numPr>
        <w:jc w:val="both"/>
        <w:rPr>
          <w:rFonts w:ascii="Arial" w:hAnsi="Arial" w:cs="Arial"/>
          <w:sz w:val="19"/>
          <w:szCs w:val="19"/>
        </w:rPr>
      </w:pPr>
      <w:r w:rsidRPr="00FC6471">
        <w:rPr>
          <w:rFonts w:ascii="Arial" w:hAnsi="Arial" w:cs="Arial"/>
          <w:sz w:val="19"/>
          <w:szCs w:val="19"/>
        </w:rPr>
        <w:t xml:space="preserve">There may be concerns that property owners may abuse their power over tenants to evict them. This can occur for a range of reasons such as complaints by the tenant about repair needs (i.e. revenge eviction), or because the property owner finds that because of excess demand in the market they can charge more for the property during the agreed rental </w:t>
      </w:r>
      <w:r w:rsidR="00FF009C" w:rsidRPr="00FC6471">
        <w:rPr>
          <w:rFonts w:ascii="Arial" w:hAnsi="Arial" w:cs="Arial"/>
          <w:sz w:val="19"/>
          <w:szCs w:val="19"/>
        </w:rPr>
        <w:t>period</w:t>
      </w:r>
      <w:r w:rsidRPr="00FC6471">
        <w:rPr>
          <w:rFonts w:ascii="Arial" w:hAnsi="Arial" w:cs="Arial"/>
          <w:sz w:val="19"/>
          <w:szCs w:val="19"/>
        </w:rPr>
        <w:t>.</w:t>
      </w:r>
    </w:p>
    <w:p w14:paraId="7464EEF8" w14:textId="329C7FB8" w:rsidR="005776E6" w:rsidRPr="00FC6471" w:rsidRDefault="005776E6" w:rsidP="00FC6471">
      <w:pPr>
        <w:pStyle w:val="ListParagraph"/>
        <w:numPr>
          <w:ilvl w:val="0"/>
          <w:numId w:val="15"/>
        </w:numPr>
        <w:jc w:val="both"/>
        <w:rPr>
          <w:rFonts w:ascii="Arial" w:hAnsi="Arial" w:cs="Arial"/>
          <w:sz w:val="19"/>
          <w:szCs w:val="19"/>
        </w:rPr>
      </w:pPr>
      <w:r w:rsidRPr="00FC6471">
        <w:rPr>
          <w:rFonts w:ascii="Arial" w:hAnsi="Arial" w:cs="Arial"/>
          <w:sz w:val="19"/>
          <w:szCs w:val="19"/>
        </w:rPr>
        <w:t xml:space="preserve">At the end of the rental </w:t>
      </w:r>
      <w:proofErr w:type="gramStart"/>
      <w:r w:rsidRPr="00FC6471">
        <w:rPr>
          <w:rFonts w:ascii="Arial" w:hAnsi="Arial" w:cs="Arial"/>
          <w:sz w:val="19"/>
          <w:szCs w:val="19"/>
        </w:rPr>
        <w:t>programme</w:t>
      </w:r>
      <w:proofErr w:type="gramEnd"/>
      <w:r w:rsidRPr="00FC6471">
        <w:rPr>
          <w:rFonts w:ascii="Arial" w:hAnsi="Arial" w:cs="Arial"/>
          <w:sz w:val="19"/>
          <w:szCs w:val="19"/>
        </w:rPr>
        <w:t xml:space="preserve"> we</w:t>
      </w:r>
      <w:r w:rsidR="008E16B3" w:rsidRPr="00FC6471">
        <w:rPr>
          <w:rFonts w:ascii="Arial" w:hAnsi="Arial" w:cs="Arial"/>
          <w:sz w:val="19"/>
          <w:szCs w:val="19"/>
        </w:rPr>
        <w:t xml:space="preserve"> may</w:t>
      </w:r>
      <w:r w:rsidRPr="00FC6471">
        <w:rPr>
          <w:rFonts w:ascii="Arial" w:hAnsi="Arial" w:cs="Arial"/>
          <w:sz w:val="19"/>
          <w:szCs w:val="19"/>
        </w:rPr>
        <w:t xml:space="preserve"> hope that the tenant will continue to rent with the same property owner to avoid further displacement.</w:t>
      </w:r>
    </w:p>
    <w:p w14:paraId="13797E3C" w14:textId="017A1395" w:rsidR="005776E6" w:rsidRPr="00FC6471" w:rsidRDefault="005776E6" w:rsidP="00FC6471">
      <w:pPr>
        <w:pStyle w:val="ListParagraph"/>
        <w:numPr>
          <w:ilvl w:val="0"/>
          <w:numId w:val="15"/>
        </w:numPr>
        <w:jc w:val="both"/>
        <w:rPr>
          <w:rFonts w:ascii="Arial" w:hAnsi="Arial" w:cs="Arial"/>
          <w:sz w:val="19"/>
          <w:szCs w:val="19"/>
        </w:rPr>
      </w:pPr>
      <w:r w:rsidRPr="00FC6471">
        <w:rPr>
          <w:rFonts w:ascii="Arial" w:hAnsi="Arial" w:cs="Arial"/>
          <w:sz w:val="19"/>
          <w:szCs w:val="19"/>
        </w:rPr>
        <w:t>There is a language barrier between property owner and tenant family, and the NS has translators who can assist in communication.</w:t>
      </w:r>
    </w:p>
    <w:p w14:paraId="1D0461CC" w14:textId="65FD4B90" w:rsidR="005776E6" w:rsidRPr="00FC6471" w:rsidRDefault="005776E6" w:rsidP="00FC6471">
      <w:pPr>
        <w:jc w:val="both"/>
        <w:rPr>
          <w:rFonts w:ascii="Arial" w:hAnsi="Arial" w:cs="Arial"/>
          <w:sz w:val="19"/>
          <w:szCs w:val="19"/>
        </w:rPr>
      </w:pPr>
      <w:r w:rsidRPr="00FC6471">
        <w:rPr>
          <w:rFonts w:ascii="Arial" w:hAnsi="Arial" w:cs="Arial"/>
          <w:sz w:val="19"/>
          <w:szCs w:val="19"/>
        </w:rPr>
        <w:t xml:space="preserve">This </w:t>
      </w:r>
      <w:r w:rsidR="006773F3" w:rsidRPr="00FC6471">
        <w:rPr>
          <w:rFonts w:ascii="Arial" w:hAnsi="Arial" w:cs="Arial"/>
          <w:sz w:val="19"/>
          <w:szCs w:val="19"/>
        </w:rPr>
        <w:t xml:space="preserve">monitoring </w:t>
      </w:r>
      <w:r w:rsidRPr="00FC6471">
        <w:rPr>
          <w:rFonts w:ascii="Arial" w:hAnsi="Arial" w:cs="Arial"/>
          <w:sz w:val="19"/>
          <w:szCs w:val="19"/>
        </w:rPr>
        <w:t xml:space="preserve">often takes the form of phone calls </w:t>
      </w:r>
      <w:r w:rsidR="002A3868" w:rsidRPr="00FC6471">
        <w:rPr>
          <w:rFonts w:ascii="Arial" w:hAnsi="Arial" w:cs="Arial"/>
          <w:sz w:val="19"/>
          <w:szCs w:val="19"/>
        </w:rPr>
        <w:t>with the property owner and tenant to understand the relationship</w:t>
      </w:r>
      <w:r w:rsidR="008E16B3" w:rsidRPr="00FC6471">
        <w:rPr>
          <w:rFonts w:ascii="Arial" w:hAnsi="Arial" w:cs="Arial"/>
          <w:sz w:val="19"/>
          <w:szCs w:val="19"/>
        </w:rPr>
        <w:t xml:space="preserve"> and ask about any problems.</w:t>
      </w:r>
    </w:p>
    <w:p w14:paraId="02E42D53" w14:textId="75649AF5" w:rsidR="003A48ED" w:rsidRPr="00FC6471" w:rsidRDefault="003A48ED" w:rsidP="00FC6471">
      <w:pPr>
        <w:jc w:val="both"/>
        <w:rPr>
          <w:rFonts w:ascii="Arial" w:hAnsi="Arial" w:cs="Arial"/>
          <w:sz w:val="19"/>
          <w:szCs w:val="19"/>
        </w:rPr>
      </w:pPr>
      <w:r w:rsidRPr="00FC6471">
        <w:rPr>
          <w:rFonts w:ascii="Arial" w:hAnsi="Arial" w:cs="Arial"/>
          <w:sz w:val="19"/>
          <w:szCs w:val="19"/>
        </w:rPr>
        <w:t>Note that there can also be broader eviction monitoring looking at trends in the rental market related to the number of evictions by property owners where this is tracked (often by courts for example) which may indicate other issues with the rental market.</w:t>
      </w:r>
    </w:p>
    <w:p w14:paraId="5F8A3696" w14:textId="00A21D6B" w:rsidR="005776E6" w:rsidRPr="00FC6471" w:rsidRDefault="005776E6" w:rsidP="00FC6471">
      <w:pPr>
        <w:pStyle w:val="Heading1"/>
        <w:jc w:val="both"/>
        <w:rPr>
          <w:rFonts w:ascii="Century Gothic" w:hAnsi="Century Gothic" w:cs="Arial"/>
          <w:b/>
          <w:bCs/>
          <w:color w:val="F5333F"/>
          <w:sz w:val="22"/>
          <w:szCs w:val="22"/>
        </w:rPr>
      </w:pPr>
      <w:r w:rsidRPr="00FC6471">
        <w:rPr>
          <w:rFonts w:ascii="Century Gothic" w:hAnsi="Century Gothic" w:cs="Arial"/>
          <w:b/>
          <w:bCs/>
          <w:color w:val="F5333F"/>
          <w:sz w:val="22"/>
          <w:szCs w:val="22"/>
        </w:rPr>
        <w:t>Collaborative dispute resolutions</w:t>
      </w:r>
    </w:p>
    <w:p w14:paraId="5B6F8376" w14:textId="40D0205E" w:rsidR="005776E6" w:rsidRPr="00FC6471" w:rsidRDefault="00FC6471" w:rsidP="00FC6471">
      <w:pPr>
        <w:jc w:val="both"/>
        <w:rPr>
          <w:rFonts w:ascii="Arial" w:hAnsi="Arial" w:cs="Arial"/>
          <w:sz w:val="19"/>
          <w:szCs w:val="19"/>
        </w:rPr>
      </w:pPr>
      <w:r>
        <w:rPr>
          <w:rFonts w:ascii="Arial" w:hAnsi="Arial" w:cs="Arial"/>
          <w:sz w:val="19"/>
          <w:szCs w:val="19"/>
        </w:rPr>
        <w:br/>
      </w:r>
      <w:r w:rsidR="003A48ED" w:rsidRPr="00FC6471">
        <w:rPr>
          <w:rFonts w:ascii="Arial" w:hAnsi="Arial" w:cs="Arial"/>
          <w:sz w:val="19"/>
          <w:szCs w:val="19"/>
        </w:rPr>
        <w:t>Normally a mediator (such as a NS staff member) who is seen as a neutral party might be involved where the tenants and property owner are brought together to talk openly about problems and try to reach solutions. This can only work where both parties agree to undergo this form of dispute resolution.</w:t>
      </w:r>
    </w:p>
    <w:p w14:paraId="22A4007E" w14:textId="77D24D28" w:rsidR="003A48ED" w:rsidRPr="00FC6471" w:rsidRDefault="003A48ED" w:rsidP="00FC6471">
      <w:pPr>
        <w:pStyle w:val="Heading1"/>
        <w:jc w:val="both"/>
        <w:rPr>
          <w:rFonts w:ascii="Century Gothic" w:hAnsi="Century Gothic" w:cs="Arial"/>
          <w:b/>
          <w:bCs/>
          <w:color w:val="F5333F"/>
          <w:sz w:val="22"/>
          <w:szCs w:val="22"/>
        </w:rPr>
      </w:pPr>
      <w:r w:rsidRPr="00FC6471">
        <w:rPr>
          <w:rFonts w:ascii="Century Gothic" w:hAnsi="Century Gothic" w:cs="Arial"/>
          <w:b/>
          <w:bCs/>
          <w:color w:val="F5333F"/>
          <w:sz w:val="22"/>
          <w:szCs w:val="22"/>
        </w:rPr>
        <w:t>Supporting tenants to avoid eviction</w:t>
      </w:r>
    </w:p>
    <w:p w14:paraId="00B7B0ED" w14:textId="2A47EC1A" w:rsidR="00446E41" w:rsidRPr="00FC6471" w:rsidRDefault="00FC6471" w:rsidP="00FC6471">
      <w:pPr>
        <w:jc w:val="both"/>
        <w:rPr>
          <w:rFonts w:ascii="Arial" w:hAnsi="Arial" w:cs="Arial"/>
          <w:sz w:val="19"/>
          <w:szCs w:val="19"/>
        </w:rPr>
      </w:pPr>
      <w:r>
        <w:rPr>
          <w:rFonts w:ascii="Arial" w:hAnsi="Arial" w:cs="Arial"/>
          <w:sz w:val="19"/>
          <w:szCs w:val="19"/>
        </w:rPr>
        <w:br/>
      </w:r>
      <w:r w:rsidR="003A48ED" w:rsidRPr="00FC6471">
        <w:rPr>
          <w:rFonts w:ascii="Arial" w:hAnsi="Arial" w:cs="Arial"/>
          <w:sz w:val="19"/>
          <w:szCs w:val="19"/>
        </w:rPr>
        <w:t>In some instances</w:t>
      </w:r>
      <w:r w:rsidR="00446E41" w:rsidRPr="00FC6471">
        <w:rPr>
          <w:rFonts w:ascii="Arial" w:hAnsi="Arial" w:cs="Arial"/>
          <w:sz w:val="19"/>
          <w:szCs w:val="19"/>
        </w:rPr>
        <w:t>,</w:t>
      </w:r>
      <w:r w:rsidR="003A48ED" w:rsidRPr="00FC6471">
        <w:rPr>
          <w:rFonts w:ascii="Arial" w:hAnsi="Arial" w:cs="Arial"/>
          <w:sz w:val="19"/>
          <w:szCs w:val="19"/>
        </w:rPr>
        <w:t xml:space="preserve"> the relationship may have completely broken down, or the property owner may merely want the property back, potentially to move back into the property themselves, for sale, or to rent to another tenant (potentially at a higher rent). Sometimes however, it can relate to the tenant reporting disrepair and be categorised as a revenge eviction.</w:t>
      </w:r>
      <w:r w:rsidR="00446E41" w:rsidRPr="00FC6471">
        <w:rPr>
          <w:rFonts w:ascii="Arial" w:hAnsi="Arial" w:cs="Arial"/>
          <w:sz w:val="19"/>
          <w:szCs w:val="19"/>
        </w:rPr>
        <w:t xml:space="preserve"> The NS will have to decide what to do in relation to the reason for eviction and should ideally be led by the desires of the tenant. For example, the tenant may want to be supported to move elsewhere, or they may want to stay in the property.</w:t>
      </w:r>
    </w:p>
    <w:p w14:paraId="5B924A05" w14:textId="024C20D6" w:rsidR="003A48ED" w:rsidRPr="00FC6471" w:rsidRDefault="003A48ED" w:rsidP="00FC6471">
      <w:pPr>
        <w:jc w:val="both"/>
        <w:rPr>
          <w:rFonts w:ascii="Arial" w:hAnsi="Arial" w:cs="Arial"/>
          <w:sz w:val="19"/>
          <w:szCs w:val="19"/>
        </w:rPr>
      </w:pPr>
      <w:r w:rsidRPr="00FC6471">
        <w:rPr>
          <w:rFonts w:ascii="Arial" w:hAnsi="Arial" w:cs="Arial"/>
          <w:sz w:val="19"/>
          <w:szCs w:val="19"/>
        </w:rPr>
        <w:t xml:space="preserve"> The NS should learn from tenant rights organisations on the processes for fighting eviction.</w:t>
      </w:r>
      <w:r w:rsidR="00446E41" w:rsidRPr="00FC6471">
        <w:rPr>
          <w:rFonts w:ascii="Arial" w:hAnsi="Arial" w:cs="Arial"/>
          <w:sz w:val="19"/>
          <w:szCs w:val="19"/>
        </w:rPr>
        <w:t xml:space="preserve"> At first mediation with the property owner and tenant should be attempted. However, where it is determined that the eviction should be fought there may be specific processes normally undertaken in the context.</w:t>
      </w:r>
      <w:r w:rsidRPr="00FC6471">
        <w:rPr>
          <w:rFonts w:ascii="Arial" w:hAnsi="Arial" w:cs="Arial"/>
          <w:sz w:val="19"/>
          <w:szCs w:val="19"/>
        </w:rPr>
        <w:t xml:space="preserve"> </w:t>
      </w:r>
      <w:r w:rsidR="00CB3F65" w:rsidRPr="00FC6471">
        <w:rPr>
          <w:rFonts w:ascii="Arial" w:hAnsi="Arial" w:cs="Arial"/>
          <w:sz w:val="19"/>
          <w:szCs w:val="19"/>
        </w:rPr>
        <w:t>T</w:t>
      </w:r>
      <w:r w:rsidRPr="00FC6471">
        <w:rPr>
          <w:rFonts w:ascii="Arial" w:hAnsi="Arial" w:cs="Arial"/>
          <w:sz w:val="19"/>
          <w:szCs w:val="19"/>
        </w:rPr>
        <w:t>his may involve examining the legislation regarding legal eviction and finding fault in the process used by the property owner.</w:t>
      </w:r>
      <w:r w:rsidR="00446E41" w:rsidRPr="00FC6471">
        <w:rPr>
          <w:rFonts w:ascii="Arial" w:hAnsi="Arial" w:cs="Arial"/>
          <w:sz w:val="19"/>
          <w:szCs w:val="19"/>
        </w:rPr>
        <w:t xml:space="preserve"> Have they issued the notice to evict in line with the required process under the legislation? Have they given the tenant adequate notice? Have they given the tenant the appropriate information at the start of the tenancy to allow them to evict under the procedure the property owner has chosen?</w:t>
      </w:r>
    </w:p>
    <w:p w14:paraId="55D77DA2" w14:textId="16206FC1" w:rsidR="003A48ED" w:rsidRPr="00FC6471" w:rsidRDefault="003A48ED" w:rsidP="00FC6471">
      <w:pPr>
        <w:jc w:val="both"/>
        <w:rPr>
          <w:rFonts w:ascii="Arial" w:hAnsi="Arial" w:cs="Arial"/>
          <w:sz w:val="19"/>
          <w:szCs w:val="19"/>
        </w:rPr>
      </w:pPr>
      <w:r w:rsidRPr="00FC6471">
        <w:rPr>
          <w:rFonts w:ascii="Arial" w:hAnsi="Arial" w:cs="Arial"/>
          <w:sz w:val="19"/>
          <w:szCs w:val="19"/>
        </w:rPr>
        <w:t>On some programmes the tenant may choose to not declare to the property owner that their rental payments are coming from the</w:t>
      </w:r>
      <w:r w:rsidR="00446E41" w:rsidRPr="00FC6471">
        <w:rPr>
          <w:rFonts w:ascii="Arial" w:hAnsi="Arial" w:cs="Arial"/>
          <w:sz w:val="19"/>
          <w:szCs w:val="19"/>
        </w:rPr>
        <w:t xml:space="preserve"> </w:t>
      </w:r>
      <w:r w:rsidR="00ED6A87" w:rsidRPr="00FC6471">
        <w:rPr>
          <w:rFonts w:ascii="Arial" w:hAnsi="Arial" w:cs="Arial"/>
          <w:sz w:val="19"/>
          <w:szCs w:val="19"/>
        </w:rPr>
        <w:t>National Society</w:t>
      </w:r>
      <w:r w:rsidR="00446E41" w:rsidRPr="00FC6471">
        <w:rPr>
          <w:rFonts w:ascii="Arial" w:hAnsi="Arial" w:cs="Arial"/>
          <w:sz w:val="19"/>
          <w:szCs w:val="19"/>
        </w:rPr>
        <w:t xml:space="preserve"> </w:t>
      </w:r>
      <w:r w:rsidR="00CB3F65" w:rsidRPr="00FC6471">
        <w:rPr>
          <w:rFonts w:ascii="Arial" w:hAnsi="Arial" w:cs="Arial"/>
          <w:sz w:val="19"/>
          <w:szCs w:val="19"/>
        </w:rPr>
        <w:t>because in some contexts this would</w:t>
      </w:r>
      <w:r w:rsidR="00446E41" w:rsidRPr="00FC6471">
        <w:rPr>
          <w:rFonts w:ascii="Arial" w:hAnsi="Arial" w:cs="Arial"/>
          <w:sz w:val="19"/>
          <w:szCs w:val="19"/>
        </w:rPr>
        <w:t xml:space="preserve"> decrease the competitiveness of the prospective tenant in the rental market. In this case it can often be helpful sending a letter on headed paper from the NS to the property owner highlighting that the tenant is being supported by an organisation. This can </w:t>
      </w:r>
      <w:r w:rsidR="00CB3F65" w:rsidRPr="00FC6471">
        <w:rPr>
          <w:rFonts w:ascii="Arial" w:hAnsi="Arial" w:cs="Arial"/>
          <w:sz w:val="19"/>
          <w:szCs w:val="19"/>
        </w:rPr>
        <w:t xml:space="preserve">often </w:t>
      </w:r>
      <w:r w:rsidR="00446E41" w:rsidRPr="00FC6471">
        <w:rPr>
          <w:rFonts w:ascii="Arial" w:hAnsi="Arial" w:cs="Arial"/>
          <w:sz w:val="19"/>
          <w:szCs w:val="19"/>
        </w:rPr>
        <w:t>be enough to ge</w:t>
      </w:r>
      <w:r w:rsidR="00CB3F65" w:rsidRPr="00FC6471">
        <w:rPr>
          <w:rFonts w:ascii="Arial" w:hAnsi="Arial" w:cs="Arial"/>
          <w:sz w:val="19"/>
          <w:szCs w:val="19"/>
        </w:rPr>
        <w:t>t the property owner</w:t>
      </w:r>
      <w:r w:rsidR="00446E41" w:rsidRPr="00FC6471">
        <w:rPr>
          <w:rFonts w:ascii="Arial" w:hAnsi="Arial" w:cs="Arial"/>
          <w:sz w:val="19"/>
          <w:szCs w:val="19"/>
        </w:rPr>
        <w:t xml:space="preserve"> to back-down.</w:t>
      </w:r>
    </w:p>
    <w:p w14:paraId="2CFDE0C0" w14:textId="6613D79D" w:rsidR="003A48ED" w:rsidRPr="00FC6471" w:rsidRDefault="00446E41" w:rsidP="00FC6471">
      <w:pPr>
        <w:jc w:val="both"/>
        <w:rPr>
          <w:rFonts w:ascii="Arial" w:hAnsi="Arial" w:cs="Arial"/>
          <w:sz w:val="19"/>
          <w:szCs w:val="19"/>
        </w:rPr>
      </w:pPr>
      <w:r w:rsidRPr="00FC6471">
        <w:rPr>
          <w:rFonts w:ascii="Arial" w:hAnsi="Arial" w:cs="Arial"/>
          <w:sz w:val="19"/>
          <w:szCs w:val="19"/>
        </w:rPr>
        <w:t>As appropriate</w:t>
      </w:r>
      <w:r w:rsidR="00720C60" w:rsidRPr="00FC6471">
        <w:rPr>
          <w:rFonts w:ascii="Arial" w:hAnsi="Arial" w:cs="Arial"/>
          <w:sz w:val="19"/>
          <w:szCs w:val="19"/>
        </w:rPr>
        <w:t>,</w:t>
      </w:r>
      <w:r w:rsidRPr="00FC6471">
        <w:rPr>
          <w:rFonts w:ascii="Arial" w:hAnsi="Arial" w:cs="Arial"/>
          <w:sz w:val="19"/>
          <w:szCs w:val="19"/>
        </w:rPr>
        <w:t xml:space="preserve"> work with tenants’ rights organisations and citizen advice organisations to support tenants directly in fighting eviction.</w:t>
      </w:r>
    </w:p>
    <w:p w14:paraId="44F1B93F" w14:textId="77777777" w:rsidR="005776E6" w:rsidRPr="00FC6471" w:rsidRDefault="005776E6" w:rsidP="00FC6471">
      <w:pPr>
        <w:jc w:val="both"/>
        <w:rPr>
          <w:rFonts w:ascii="Arial" w:hAnsi="Arial" w:cs="Arial"/>
          <w:sz w:val="19"/>
          <w:szCs w:val="19"/>
        </w:rPr>
      </w:pPr>
    </w:p>
    <w:p w14:paraId="5D8ECBE8" w14:textId="77777777" w:rsidR="005776E6" w:rsidRPr="00FC6471" w:rsidRDefault="005776E6" w:rsidP="00FC6471">
      <w:pPr>
        <w:jc w:val="both"/>
        <w:rPr>
          <w:rFonts w:ascii="Arial" w:hAnsi="Arial" w:cs="Arial"/>
          <w:sz w:val="19"/>
          <w:szCs w:val="19"/>
        </w:rPr>
      </w:pPr>
    </w:p>
    <w:p w14:paraId="1280EFBA" w14:textId="77777777" w:rsidR="00600394" w:rsidRPr="00FC6471" w:rsidRDefault="00600394" w:rsidP="00FC6471">
      <w:pPr>
        <w:jc w:val="both"/>
        <w:rPr>
          <w:rFonts w:ascii="Arial" w:hAnsi="Arial" w:cs="Arial"/>
          <w:sz w:val="19"/>
          <w:szCs w:val="19"/>
        </w:rPr>
      </w:pPr>
    </w:p>
    <w:sectPr w:rsidR="00600394" w:rsidRPr="00FC6471" w:rsidSect="00FC6471">
      <w:headerReference w:type="default" r:id="rId11"/>
      <w:footerReference w:type="even"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A3C44" w14:textId="77777777" w:rsidR="00505152" w:rsidRDefault="00505152" w:rsidP="001301EF">
      <w:pPr>
        <w:spacing w:after="0" w:line="240" w:lineRule="auto"/>
      </w:pPr>
      <w:r>
        <w:separator/>
      </w:r>
    </w:p>
  </w:endnote>
  <w:endnote w:type="continuationSeparator" w:id="0">
    <w:p w14:paraId="7CB48019" w14:textId="77777777" w:rsidR="00505152" w:rsidRDefault="00505152" w:rsidP="001301EF">
      <w:pPr>
        <w:spacing w:after="0" w:line="240" w:lineRule="auto"/>
      </w:pPr>
      <w:r>
        <w:continuationSeparator/>
      </w:r>
    </w:p>
  </w:endnote>
  <w:endnote w:type="continuationNotice" w:id="1">
    <w:p w14:paraId="19DF1856" w14:textId="77777777" w:rsidR="00505152" w:rsidRDefault="00505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0933998"/>
      <w:docPartObj>
        <w:docPartGallery w:val="Page Numbers (Bottom of Page)"/>
        <w:docPartUnique/>
      </w:docPartObj>
    </w:sdtPr>
    <w:sdtEndPr>
      <w:rPr>
        <w:rStyle w:val="PageNumber"/>
      </w:rPr>
    </w:sdtEndPr>
    <w:sdtContent>
      <w:p w14:paraId="0883DB1B" w14:textId="57B7AF78" w:rsidR="00FC6471" w:rsidRDefault="00FC6471" w:rsidP="001777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2B322B" w14:textId="77777777" w:rsidR="00FC6471" w:rsidRDefault="00FC6471" w:rsidP="00FC64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3160419"/>
      <w:docPartObj>
        <w:docPartGallery w:val="Page Numbers (Bottom of Page)"/>
        <w:docPartUnique/>
      </w:docPartObj>
    </w:sdtPr>
    <w:sdtEndPr>
      <w:rPr>
        <w:rStyle w:val="PageNumber"/>
      </w:rPr>
    </w:sdtEndPr>
    <w:sdtContent>
      <w:p w14:paraId="436528E0" w14:textId="1AF11CAD" w:rsidR="00FC6471" w:rsidRDefault="00FC6471" w:rsidP="001777BA">
        <w:pPr>
          <w:pStyle w:val="Footer"/>
          <w:framePr w:wrap="none" w:vAnchor="text" w:hAnchor="margin" w:xAlign="right" w:y="1"/>
          <w:rPr>
            <w:rStyle w:val="PageNumber"/>
          </w:rPr>
        </w:pPr>
        <w:r w:rsidRPr="00FC6471">
          <w:rPr>
            <w:rStyle w:val="PageNumber"/>
            <w:rFonts w:ascii="Arial" w:hAnsi="Arial" w:cs="Arial"/>
            <w:color w:val="F5333F"/>
          </w:rPr>
          <w:fldChar w:fldCharType="begin"/>
        </w:r>
        <w:r w:rsidRPr="00FC6471">
          <w:rPr>
            <w:rStyle w:val="PageNumber"/>
            <w:rFonts w:ascii="Arial" w:hAnsi="Arial" w:cs="Arial"/>
            <w:color w:val="F5333F"/>
          </w:rPr>
          <w:instrText xml:space="preserve"> PAGE </w:instrText>
        </w:r>
        <w:r w:rsidRPr="00FC6471">
          <w:rPr>
            <w:rStyle w:val="PageNumber"/>
            <w:rFonts w:ascii="Arial" w:hAnsi="Arial" w:cs="Arial"/>
            <w:color w:val="F5333F"/>
          </w:rPr>
          <w:fldChar w:fldCharType="separate"/>
        </w:r>
        <w:r w:rsidRPr="00FC6471">
          <w:rPr>
            <w:rStyle w:val="PageNumber"/>
            <w:rFonts w:ascii="Arial" w:hAnsi="Arial" w:cs="Arial"/>
            <w:noProof/>
            <w:color w:val="F5333F"/>
          </w:rPr>
          <w:t>2</w:t>
        </w:r>
        <w:r w:rsidRPr="00FC6471">
          <w:rPr>
            <w:rStyle w:val="PageNumber"/>
            <w:rFonts w:ascii="Arial" w:hAnsi="Arial" w:cs="Arial"/>
            <w:color w:val="F5333F"/>
          </w:rPr>
          <w:fldChar w:fldCharType="end"/>
        </w:r>
      </w:p>
    </w:sdtContent>
  </w:sdt>
  <w:p w14:paraId="582486C8" w14:textId="30B0D66B" w:rsidR="005F218C" w:rsidRDefault="005F218C" w:rsidP="00FC647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99574" w14:textId="77777777" w:rsidR="00505152" w:rsidRDefault="00505152" w:rsidP="001301EF">
      <w:pPr>
        <w:spacing w:after="0" w:line="240" w:lineRule="auto"/>
      </w:pPr>
      <w:r>
        <w:separator/>
      </w:r>
    </w:p>
  </w:footnote>
  <w:footnote w:type="continuationSeparator" w:id="0">
    <w:p w14:paraId="170D18E1" w14:textId="77777777" w:rsidR="00505152" w:rsidRDefault="00505152" w:rsidP="001301EF">
      <w:pPr>
        <w:spacing w:after="0" w:line="240" w:lineRule="auto"/>
      </w:pPr>
      <w:r>
        <w:continuationSeparator/>
      </w:r>
    </w:p>
  </w:footnote>
  <w:footnote w:type="continuationNotice" w:id="1">
    <w:p w14:paraId="0B4F6118" w14:textId="77777777" w:rsidR="00505152" w:rsidRDefault="00505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CFE1" w14:textId="1988EEAB" w:rsidR="005F218C" w:rsidRPr="00FC6471" w:rsidRDefault="005F218C" w:rsidP="00FC6471">
    <w:pPr>
      <w:pStyle w:val="Header"/>
      <w:jc w:val="center"/>
      <w:rPr>
        <w:rFonts w:ascii="Arial" w:hAnsi="Arial" w:cs="Arial"/>
        <w:color w:val="F5333F"/>
        <w:sz w:val="16"/>
        <w:szCs w:val="16"/>
      </w:rPr>
    </w:pPr>
    <w:r w:rsidRPr="00FC6471">
      <w:rPr>
        <w:rFonts w:ascii="Arial" w:hAnsi="Arial" w:cs="Arial"/>
        <w:color w:val="F5333F"/>
        <w:sz w:val="16"/>
        <w:szCs w:val="16"/>
      </w:rPr>
      <w:t xml:space="preserve">Rental Assistance SoP </w:t>
    </w:r>
    <w:r w:rsidR="00B35402" w:rsidRPr="00FC6471">
      <w:rPr>
        <w:rFonts w:ascii="Arial" w:hAnsi="Arial" w:cs="Arial"/>
        <w:color w:val="F5333F"/>
        <w:sz w:val="16"/>
        <w:szCs w:val="16"/>
      </w:rPr>
      <w:t>3</w:t>
    </w:r>
    <w:r w:rsidRPr="00FC6471">
      <w:rPr>
        <w:rFonts w:ascii="Arial" w:hAnsi="Arial" w:cs="Arial"/>
        <w:color w:val="F5333F"/>
        <w:sz w:val="16"/>
        <w:szCs w:val="16"/>
      </w:rPr>
      <w:t>.</w:t>
    </w:r>
    <w:r w:rsidR="00192EA4" w:rsidRPr="00FC6471">
      <w:rPr>
        <w:rFonts w:ascii="Arial" w:hAnsi="Arial" w:cs="Arial"/>
        <w:color w:val="F5333F"/>
        <w:sz w:val="16"/>
        <w:szCs w:val="16"/>
      </w:rPr>
      <w:t>1</w:t>
    </w:r>
    <w:r w:rsidR="006562A6" w:rsidRPr="00FC6471">
      <w:rPr>
        <w:rFonts w:ascii="Arial" w:hAnsi="Arial" w:cs="Arial"/>
        <w:color w:val="F5333F"/>
        <w:sz w:val="16"/>
        <w:szCs w:val="16"/>
      </w:rPr>
      <w:t>.</w:t>
    </w:r>
    <w:r w:rsidR="00600394" w:rsidRPr="00FC6471">
      <w:rPr>
        <w:rFonts w:ascii="Arial" w:hAnsi="Arial" w:cs="Arial"/>
        <w:color w:val="F5333F"/>
        <w:sz w:val="16"/>
        <w:szCs w:val="16"/>
      </w:rPr>
      <w:t>3</w:t>
    </w:r>
    <w:r w:rsidRPr="00FC6471">
      <w:rPr>
        <w:rFonts w:ascii="Arial" w:hAnsi="Arial" w:cs="Arial"/>
        <w:color w:val="F5333F"/>
        <w:sz w:val="16"/>
        <w:szCs w:val="16"/>
      </w:rPr>
      <w:t xml:space="preserve"> –</w:t>
    </w:r>
    <w:r w:rsidR="00BD7EA2" w:rsidRPr="00FC6471">
      <w:rPr>
        <w:rFonts w:ascii="Arial" w:hAnsi="Arial" w:cs="Arial"/>
        <w:color w:val="F5333F"/>
        <w:sz w:val="16"/>
        <w:szCs w:val="16"/>
      </w:rPr>
      <w:t xml:space="preserve"> </w:t>
    </w:r>
    <w:r w:rsidR="00600394" w:rsidRPr="00FC6471">
      <w:rPr>
        <w:rFonts w:ascii="Arial" w:hAnsi="Arial" w:cs="Arial"/>
        <w:color w:val="F5333F"/>
        <w:sz w:val="16"/>
        <w:szCs w:val="16"/>
      </w:rPr>
      <w:t>Occupancy and Eviction Monitoring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1E26" w14:textId="747F6353" w:rsidR="00FC6471" w:rsidRDefault="00FC6471">
    <w:pPr>
      <w:pStyle w:val="Header"/>
    </w:pPr>
    <w:r>
      <w:rPr>
        <w:rFonts w:ascii="Arial" w:hAnsi="Arial" w:cs="Arial"/>
        <w:b/>
        <w:bCs/>
        <w:noProof/>
        <w:sz w:val="19"/>
        <w:szCs w:val="19"/>
      </w:rPr>
      <mc:AlternateContent>
        <mc:Choice Requires="wps">
          <w:drawing>
            <wp:anchor distT="0" distB="0" distL="114300" distR="114300" simplePos="0" relativeHeight="251660288" behindDoc="0" locked="0" layoutInCell="1" allowOverlap="1" wp14:anchorId="0B852869" wp14:editId="14961A8D">
              <wp:simplePos x="0" y="0"/>
              <wp:positionH relativeFrom="column">
                <wp:posOffset>1186180</wp:posOffset>
              </wp:positionH>
              <wp:positionV relativeFrom="paragraph">
                <wp:posOffset>-45710</wp:posOffset>
              </wp:positionV>
              <wp:extent cx="4604385" cy="1165860"/>
              <wp:effectExtent l="0" t="0" r="0" b="0"/>
              <wp:wrapNone/>
              <wp:docPr id="1399894245" name="Cuadro de texto 2"/>
              <wp:cNvGraphicFramePr/>
              <a:graphic xmlns:a="http://schemas.openxmlformats.org/drawingml/2006/main">
                <a:graphicData uri="http://schemas.microsoft.com/office/word/2010/wordprocessingShape">
                  <wps:wsp>
                    <wps:cNvSpPr txBox="1"/>
                    <wps:spPr>
                      <a:xfrm>
                        <a:off x="0" y="0"/>
                        <a:ext cx="4604385" cy="1165860"/>
                      </a:xfrm>
                      <a:prstGeom prst="rect">
                        <a:avLst/>
                      </a:prstGeom>
                      <a:noFill/>
                      <a:ln w="6350">
                        <a:noFill/>
                      </a:ln>
                    </wps:spPr>
                    <wps:txbx>
                      <w:txbxContent>
                        <w:p w14:paraId="40D010E8" w14:textId="6A9A8212" w:rsidR="00FC6471" w:rsidRPr="009503F7" w:rsidRDefault="00FC6471" w:rsidP="00FC6471">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FC6471">
                            <w:rPr>
                              <w:rFonts w:ascii="Century Gothic" w:eastAsiaTheme="majorEastAsia" w:hAnsi="Century Gothic" w:cs="Arial"/>
                              <w:b/>
                              <w:bCs/>
                              <w:color w:val="F5333F"/>
                              <w:spacing w:val="-10"/>
                              <w:kern w:val="28"/>
                              <w:sz w:val="44"/>
                              <w:szCs w:val="44"/>
                            </w:rPr>
                            <w:t>SoP 3.1.3 – Occupancy and Eviction 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52869" id="_x0000_t202" coordsize="21600,21600" o:spt="202" path="m,l,21600r21600,l21600,xe">
              <v:stroke joinstyle="miter"/>
              <v:path gradientshapeok="t" o:connecttype="rect"/>
            </v:shapetype>
            <v:shape id="Cuadro de texto 2" o:spid="_x0000_s1027" type="#_x0000_t202" style="position:absolute;margin-left:93.4pt;margin-top:-3.6pt;width:362.55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A8GQIAAC0EAAAOAAAAZHJzL2Uyb0RvYy54bWysU02P2yAQvVfqf0DcG9vZJE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" filled="f" stroked="f" strokeweight=".5pt">
              <v:textbox>
                <w:txbxContent>
                  <w:p w14:paraId="40D010E8" w14:textId="6A9A8212" w:rsidR="00FC6471" w:rsidRPr="009503F7" w:rsidRDefault="00FC6471" w:rsidP="00FC6471">
                    <w:pPr>
                      <w:rPr>
                        <w:color w:val="F5333F"/>
                      </w:rPr>
                    </w:pPr>
                    <w:r w:rsidRPr="007148CA">
                      <w:rPr>
                        <w:rFonts w:ascii="Century Gothic" w:eastAsiaTheme="majorEastAsia" w:hAnsi="Century Gothic" w:cs="Arial"/>
                        <w:b/>
                        <w:bCs/>
                        <w:color w:val="F5333F"/>
                        <w:spacing w:val="-10"/>
                        <w:kern w:val="28"/>
                        <w:sz w:val="44"/>
                        <w:szCs w:val="44"/>
                      </w:rPr>
                      <w:t xml:space="preserve">Rental Assistance </w:t>
                    </w:r>
                    <w:r w:rsidRPr="00FC6471">
                      <w:rPr>
                        <w:rFonts w:ascii="Century Gothic" w:eastAsiaTheme="majorEastAsia" w:hAnsi="Century Gothic" w:cs="Arial"/>
                        <w:b/>
                        <w:bCs/>
                        <w:color w:val="F5333F"/>
                        <w:spacing w:val="-10"/>
                        <w:kern w:val="28"/>
                        <w:sz w:val="44"/>
                        <w:szCs w:val="44"/>
                      </w:rPr>
                      <w:t>SoP 3.1.3 – Occupancy and Eviction Monitoring</w:t>
                    </w:r>
                  </w:p>
                </w:txbxContent>
              </v:textbox>
            </v:shape>
          </w:pict>
        </mc:Fallback>
      </mc:AlternateContent>
    </w:r>
    <w:r>
      <w:rPr>
        <w:rFonts w:ascii="Arial" w:hAnsi="Arial" w:cs="Arial"/>
        <w:b/>
        <w:bCs/>
        <w:noProof/>
        <w:sz w:val="19"/>
        <w:szCs w:val="19"/>
      </w:rPr>
      <w:drawing>
        <wp:anchor distT="0" distB="0" distL="114300" distR="114300" simplePos="0" relativeHeight="251659264" behindDoc="0" locked="0" layoutInCell="1" allowOverlap="1" wp14:anchorId="592A8A51" wp14:editId="56126E52">
          <wp:simplePos x="0" y="0"/>
          <wp:positionH relativeFrom="column">
            <wp:posOffset>-921385</wp:posOffset>
          </wp:positionH>
          <wp:positionV relativeFrom="page">
            <wp:posOffset>-47625</wp:posOffset>
          </wp:positionV>
          <wp:extent cx="7574280" cy="2015490"/>
          <wp:effectExtent l="0" t="0" r="0" b="3810"/>
          <wp:wrapSquare wrapText="bothSides"/>
          <wp:docPr id="1128111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408B"/>
    <w:multiLevelType w:val="hybridMultilevel"/>
    <w:tmpl w:val="A3A8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27A13"/>
    <w:multiLevelType w:val="hybridMultilevel"/>
    <w:tmpl w:val="17FA2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C3B2F"/>
    <w:multiLevelType w:val="hybridMultilevel"/>
    <w:tmpl w:val="75469CA2"/>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779BF"/>
    <w:multiLevelType w:val="hybridMultilevel"/>
    <w:tmpl w:val="D3B0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27E94"/>
    <w:multiLevelType w:val="hybridMultilevel"/>
    <w:tmpl w:val="B608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36022"/>
    <w:multiLevelType w:val="hybridMultilevel"/>
    <w:tmpl w:val="DE062A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DC1DE3"/>
    <w:multiLevelType w:val="hybridMultilevel"/>
    <w:tmpl w:val="8D8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11D73"/>
    <w:multiLevelType w:val="hybridMultilevel"/>
    <w:tmpl w:val="089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E7349"/>
    <w:multiLevelType w:val="hybridMultilevel"/>
    <w:tmpl w:val="25EC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87550"/>
    <w:multiLevelType w:val="hybridMultilevel"/>
    <w:tmpl w:val="BB8EB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E7743"/>
    <w:multiLevelType w:val="hybridMultilevel"/>
    <w:tmpl w:val="35567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64FB5"/>
    <w:multiLevelType w:val="hybridMultilevel"/>
    <w:tmpl w:val="4976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57F36"/>
    <w:multiLevelType w:val="hybridMultilevel"/>
    <w:tmpl w:val="26421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48341"/>
    <w:multiLevelType w:val="hybridMultilevel"/>
    <w:tmpl w:val="0C0225CC"/>
    <w:lvl w:ilvl="0" w:tplc="5234F9B8">
      <w:start w:val="1"/>
      <w:numFmt w:val="bullet"/>
      <w:lvlText w:val=""/>
      <w:lvlJc w:val="left"/>
      <w:pPr>
        <w:ind w:left="720" w:hanging="360"/>
      </w:pPr>
      <w:rPr>
        <w:rFonts w:ascii="Symbol" w:hAnsi="Symbol" w:hint="default"/>
      </w:rPr>
    </w:lvl>
    <w:lvl w:ilvl="1" w:tplc="9C1ED928">
      <w:start w:val="1"/>
      <w:numFmt w:val="bullet"/>
      <w:lvlText w:val="o"/>
      <w:lvlJc w:val="left"/>
      <w:pPr>
        <w:ind w:left="1440" w:hanging="360"/>
      </w:pPr>
      <w:rPr>
        <w:rFonts w:ascii="Courier New" w:hAnsi="Courier New" w:hint="default"/>
      </w:rPr>
    </w:lvl>
    <w:lvl w:ilvl="2" w:tplc="873C8A08">
      <w:start w:val="1"/>
      <w:numFmt w:val="bullet"/>
      <w:lvlText w:val=""/>
      <w:lvlJc w:val="left"/>
      <w:pPr>
        <w:ind w:left="2160" w:hanging="360"/>
      </w:pPr>
      <w:rPr>
        <w:rFonts w:ascii="Wingdings" w:hAnsi="Wingdings" w:hint="default"/>
      </w:rPr>
    </w:lvl>
    <w:lvl w:ilvl="3" w:tplc="C25CC3FC">
      <w:start w:val="1"/>
      <w:numFmt w:val="bullet"/>
      <w:lvlText w:val=""/>
      <w:lvlJc w:val="left"/>
      <w:pPr>
        <w:ind w:left="2880" w:hanging="360"/>
      </w:pPr>
      <w:rPr>
        <w:rFonts w:ascii="Symbol" w:hAnsi="Symbol" w:hint="default"/>
      </w:rPr>
    </w:lvl>
    <w:lvl w:ilvl="4" w:tplc="3AF8BFA6">
      <w:start w:val="1"/>
      <w:numFmt w:val="bullet"/>
      <w:lvlText w:val="o"/>
      <w:lvlJc w:val="left"/>
      <w:pPr>
        <w:ind w:left="3600" w:hanging="360"/>
      </w:pPr>
      <w:rPr>
        <w:rFonts w:ascii="Courier New" w:hAnsi="Courier New" w:hint="default"/>
      </w:rPr>
    </w:lvl>
    <w:lvl w:ilvl="5" w:tplc="F9EA1882">
      <w:start w:val="1"/>
      <w:numFmt w:val="bullet"/>
      <w:lvlText w:val=""/>
      <w:lvlJc w:val="left"/>
      <w:pPr>
        <w:ind w:left="4320" w:hanging="360"/>
      </w:pPr>
      <w:rPr>
        <w:rFonts w:ascii="Wingdings" w:hAnsi="Wingdings" w:hint="default"/>
      </w:rPr>
    </w:lvl>
    <w:lvl w:ilvl="6" w:tplc="7D742C7E">
      <w:start w:val="1"/>
      <w:numFmt w:val="bullet"/>
      <w:lvlText w:val=""/>
      <w:lvlJc w:val="left"/>
      <w:pPr>
        <w:ind w:left="5040" w:hanging="360"/>
      </w:pPr>
      <w:rPr>
        <w:rFonts w:ascii="Symbol" w:hAnsi="Symbol" w:hint="default"/>
      </w:rPr>
    </w:lvl>
    <w:lvl w:ilvl="7" w:tplc="4B905FB8">
      <w:start w:val="1"/>
      <w:numFmt w:val="bullet"/>
      <w:lvlText w:val="o"/>
      <w:lvlJc w:val="left"/>
      <w:pPr>
        <w:ind w:left="5760" w:hanging="360"/>
      </w:pPr>
      <w:rPr>
        <w:rFonts w:ascii="Courier New" w:hAnsi="Courier New" w:hint="default"/>
      </w:rPr>
    </w:lvl>
    <w:lvl w:ilvl="8" w:tplc="8788E1F4">
      <w:start w:val="1"/>
      <w:numFmt w:val="bullet"/>
      <w:lvlText w:val=""/>
      <w:lvlJc w:val="left"/>
      <w:pPr>
        <w:ind w:left="6480" w:hanging="360"/>
      </w:pPr>
      <w:rPr>
        <w:rFonts w:ascii="Wingdings" w:hAnsi="Wingdings" w:hint="default"/>
      </w:rPr>
    </w:lvl>
  </w:abstractNum>
  <w:abstractNum w:abstractNumId="14" w15:restartNumberingAfterBreak="0">
    <w:nsid w:val="7BFD6175"/>
    <w:multiLevelType w:val="hybridMultilevel"/>
    <w:tmpl w:val="2D04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886819">
    <w:abstractNumId w:val="13"/>
  </w:num>
  <w:num w:numId="2" w16cid:durableId="241257114">
    <w:abstractNumId w:val="2"/>
  </w:num>
  <w:num w:numId="3" w16cid:durableId="1522352044">
    <w:abstractNumId w:val="10"/>
  </w:num>
  <w:num w:numId="4" w16cid:durableId="147285932">
    <w:abstractNumId w:val="12"/>
  </w:num>
  <w:num w:numId="5" w16cid:durableId="263150678">
    <w:abstractNumId w:val="0"/>
  </w:num>
  <w:num w:numId="6" w16cid:durableId="1758670435">
    <w:abstractNumId w:val="9"/>
  </w:num>
  <w:num w:numId="7" w16cid:durableId="543755434">
    <w:abstractNumId w:val="1"/>
  </w:num>
  <w:num w:numId="8" w16cid:durableId="2112775836">
    <w:abstractNumId w:val="6"/>
  </w:num>
  <w:num w:numId="9" w16cid:durableId="1425610498">
    <w:abstractNumId w:val="5"/>
  </w:num>
  <w:num w:numId="10" w16cid:durableId="861939542">
    <w:abstractNumId w:val="8"/>
  </w:num>
  <w:num w:numId="11" w16cid:durableId="295256890">
    <w:abstractNumId w:val="11"/>
  </w:num>
  <w:num w:numId="12" w16cid:durableId="408499531">
    <w:abstractNumId w:val="4"/>
  </w:num>
  <w:num w:numId="13" w16cid:durableId="470249596">
    <w:abstractNumId w:val="3"/>
  </w:num>
  <w:num w:numId="14" w16cid:durableId="904877353">
    <w:abstractNumId w:val="7"/>
  </w:num>
  <w:num w:numId="15" w16cid:durableId="20528053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3305"/>
    <w:rsid w:val="00007E61"/>
    <w:rsid w:val="00011279"/>
    <w:rsid w:val="00023E61"/>
    <w:rsid w:val="0003251C"/>
    <w:rsid w:val="0006517E"/>
    <w:rsid w:val="00071F39"/>
    <w:rsid w:val="00075681"/>
    <w:rsid w:val="000B280B"/>
    <w:rsid w:val="000C7433"/>
    <w:rsid w:val="000D011B"/>
    <w:rsid w:val="000D058A"/>
    <w:rsid w:val="000D5009"/>
    <w:rsid w:val="000D5FF6"/>
    <w:rsid w:val="000E3F2E"/>
    <w:rsid w:val="000F0999"/>
    <w:rsid w:val="000F4B24"/>
    <w:rsid w:val="00121044"/>
    <w:rsid w:val="00126326"/>
    <w:rsid w:val="001301EF"/>
    <w:rsid w:val="0013521C"/>
    <w:rsid w:val="00142C17"/>
    <w:rsid w:val="00150B68"/>
    <w:rsid w:val="00152F8E"/>
    <w:rsid w:val="0015601A"/>
    <w:rsid w:val="001603F2"/>
    <w:rsid w:val="001810D1"/>
    <w:rsid w:val="00183FA7"/>
    <w:rsid w:val="00192EA4"/>
    <w:rsid w:val="001A0855"/>
    <w:rsid w:val="001A4946"/>
    <w:rsid w:val="001B04E4"/>
    <w:rsid w:val="001B4C4C"/>
    <w:rsid w:val="001B7FC5"/>
    <w:rsid w:val="001D6179"/>
    <w:rsid w:val="001D7142"/>
    <w:rsid w:val="001E3E21"/>
    <w:rsid w:val="001E5486"/>
    <w:rsid w:val="00202E28"/>
    <w:rsid w:val="002128E5"/>
    <w:rsid w:val="00215ACA"/>
    <w:rsid w:val="00221A82"/>
    <w:rsid w:val="00237B51"/>
    <w:rsid w:val="0024264F"/>
    <w:rsid w:val="002544E8"/>
    <w:rsid w:val="002562CF"/>
    <w:rsid w:val="002623CE"/>
    <w:rsid w:val="00274B75"/>
    <w:rsid w:val="00286F31"/>
    <w:rsid w:val="0028772B"/>
    <w:rsid w:val="0029409F"/>
    <w:rsid w:val="002A0E27"/>
    <w:rsid w:val="002A2CD3"/>
    <w:rsid w:val="002A3868"/>
    <w:rsid w:val="002B58DF"/>
    <w:rsid w:val="002C7686"/>
    <w:rsid w:val="002D0CBF"/>
    <w:rsid w:val="002D282E"/>
    <w:rsid w:val="002F4F51"/>
    <w:rsid w:val="00306FAA"/>
    <w:rsid w:val="00316EB8"/>
    <w:rsid w:val="00342D67"/>
    <w:rsid w:val="0036081A"/>
    <w:rsid w:val="00362EA7"/>
    <w:rsid w:val="00365C3A"/>
    <w:rsid w:val="0037318F"/>
    <w:rsid w:val="003821DC"/>
    <w:rsid w:val="003828E9"/>
    <w:rsid w:val="003A48ED"/>
    <w:rsid w:val="003E38BE"/>
    <w:rsid w:val="003F4746"/>
    <w:rsid w:val="00405E6E"/>
    <w:rsid w:val="00427A1F"/>
    <w:rsid w:val="00430A9A"/>
    <w:rsid w:val="00435951"/>
    <w:rsid w:val="00440DE4"/>
    <w:rsid w:val="00446E41"/>
    <w:rsid w:val="00460E1A"/>
    <w:rsid w:val="0048008F"/>
    <w:rsid w:val="0048292D"/>
    <w:rsid w:val="004855AD"/>
    <w:rsid w:val="004A1232"/>
    <w:rsid w:val="004C616E"/>
    <w:rsid w:val="004D3756"/>
    <w:rsid w:val="004D6927"/>
    <w:rsid w:val="004E5E86"/>
    <w:rsid w:val="004E75F6"/>
    <w:rsid w:val="004F417E"/>
    <w:rsid w:val="004F46AF"/>
    <w:rsid w:val="004F7259"/>
    <w:rsid w:val="0050200D"/>
    <w:rsid w:val="00505152"/>
    <w:rsid w:val="00513E6E"/>
    <w:rsid w:val="00520308"/>
    <w:rsid w:val="005270E6"/>
    <w:rsid w:val="00527AC1"/>
    <w:rsid w:val="00531AEC"/>
    <w:rsid w:val="0054678F"/>
    <w:rsid w:val="0057689F"/>
    <w:rsid w:val="005776E6"/>
    <w:rsid w:val="00595E9C"/>
    <w:rsid w:val="00597956"/>
    <w:rsid w:val="005B396E"/>
    <w:rsid w:val="005B3EA5"/>
    <w:rsid w:val="005D2F79"/>
    <w:rsid w:val="005D512C"/>
    <w:rsid w:val="005F218C"/>
    <w:rsid w:val="00600394"/>
    <w:rsid w:val="00614707"/>
    <w:rsid w:val="00630E9E"/>
    <w:rsid w:val="006423C6"/>
    <w:rsid w:val="006562A6"/>
    <w:rsid w:val="0066046B"/>
    <w:rsid w:val="006614E1"/>
    <w:rsid w:val="006634EB"/>
    <w:rsid w:val="00665755"/>
    <w:rsid w:val="006773F3"/>
    <w:rsid w:val="0068172F"/>
    <w:rsid w:val="00687173"/>
    <w:rsid w:val="00691430"/>
    <w:rsid w:val="006B170E"/>
    <w:rsid w:val="006D1AD9"/>
    <w:rsid w:val="006D6CF5"/>
    <w:rsid w:val="006E73BC"/>
    <w:rsid w:val="006F3339"/>
    <w:rsid w:val="006F356D"/>
    <w:rsid w:val="006F743A"/>
    <w:rsid w:val="007012BF"/>
    <w:rsid w:val="00704FA4"/>
    <w:rsid w:val="00705759"/>
    <w:rsid w:val="007103B2"/>
    <w:rsid w:val="00712AE8"/>
    <w:rsid w:val="00720C60"/>
    <w:rsid w:val="00737D9E"/>
    <w:rsid w:val="00751BD9"/>
    <w:rsid w:val="00753E03"/>
    <w:rsid w:val="0076211B"/>
    <w:rsid w:val="00764D76"/>
    <w:rsid w:val="0076528D"/>
    <w:rsid w:val="007751B7"/>
    <w:rsid w:val="0077738D"/>
    <w:rsid w:val="00780477"/>
    <w:rsid w:val="00797310"/>
    <w:rsid w:val="007976D8"/>
    <w:rsid w:val="00797F91"/>
    <w:rsid w:val="007B57AA"/>
    <w:rsid w:val="007C1170"/>
    <w:rsid w:val="007C616E"/>
    <w:rsid w:val="007D7D16"/>
    <w:rsid w:val="007E4269"/>
    <w:rsid w:val="007E6715"/>
    <w:rsid w:val="007F1454"/>
    <w:rsid w:val="007F4C47"/>
    <w:rsid w:val="00811934"/>
    <w:rsid w:val="00820615"/>
    <w:rsid w:val="00821898"/>
    <w:rsid w:val="00826F2D"/>
    <w:rsid w:val="00827960"/>
    <w:rsid w:val="00833CAD"/>
    <w:rsid w:val="00841F1E"/>
    <w:rsid w:val="008503CD"/>
    <w:rsid w:val="008527D7"/>
    <w:rsid w:val="00853E03"/>
    <w:rsid w:val="00857394"/>
    <w:rsid w:val="00860331"/>
    <w:rsid w:val="00877FA5"/>
    <w:rsid w:val="0088272D"/>
    <w:rsid w:val="008846A1"/>
    <w:rsid w:val="008861AE"/>
    <w:rsid w:val="008964D7"/>
    <w:rsid w:val="008A2877"/>
    <w:rsid w:val="008A71EE"/>
    <w:rsid w:val="008C3EB7"/>
    <w:rsid w:val="008C7B82"/>
    <w:rsid w:val="008D5351"/>
    <w:rsid w:val="008D77B5"/>
    <w:rsid w:val="008E16B3"/>
    <w:rsid w:val="008E41B3"/>
    <w:rsid w:val="008F44DB"/>
    <w:rsid w:val="00902358"/>
    <w:rsid w:val="00902945"/>
    <w:rsid w:val="00917F7D"/>
    <w:rsid w:val="009358FC"/>
    <w:rsid w:val="00940B7C"/>
    <w:rsid w:val="00947462"/>
    <w:rsid w:val="00973AD0"/>
    <w:rsid w:val="00974857"/>
    <w:rsid w:val="009819FD"/>
    <w:rsid w:val="00992F72"/>
    <w:rsid w:val="009957D8"/>
    <w:rsid w:val="009A049B"/>
    <w:rsid w:val="009C0FB5"/>
    <w:rsid w:val="009C1B8B"/>
    <w:rsid w:val="009C3DE0"/>
    <w:rsid w:val="009D2CD2"/>
    <w:rsid w:val="009D3D79"/>
    <w:rsid w:val="009D4E63"/>
    <w:rsid w:val="009E5F37"/>
    <w:rsid w:val="009F136D"/>
    <w:rsid w:val="009F75D3"/>
    <w:rsid w:val="00A0045F"/>
    <w:rsid w:val="00A02D93"/>
    <w:rsid w:val="00A34D7B"/>
    <w:rsid w:val="00A40E6F"/>
    <w:rsid w:val="00A60741"/>
    <w:rsid w:val="00A614AF"/>
    <w:rsid w:val="00A7733F"/>
    <w:rsid w:val="00A81CD4"/>
    <w:rsid w:val="00A86F3D"/>
    <w:rsid w:val="00AA3AA9"/>
    <w:rsid w:val="00AB610D"/>
    <w:rsid w:val="00AD7E68"/>
    <w:rsid w:val="00AE1C05"/>
    <w:rsid w:val="00AE7BEC"/>
    <w:rsid w:val="00B06DFD"/>
    <w:rsid w:val="00B1327F"/>
    <w:rsid w:val="00B16D89"/>
    <w:rsid w:val="00B178D2"/>
    <w:rsid w:val="00B24AAC"/>
    <w:rsid w:val="00B250CA"/>
    <w:rsid w:val="00B31F78"/>
    <w:rsid w:val="00B35402"/>
    <w:rsid w:val="00B366D7"/>
    <w:rsid w:val="00B43243"/>
    <w:rsid w:val="00B44B48"/>
    <w:rsid w:val="00B47199"/>
    <w:rsid w:val="00B546A9"/>
    <w:rsid w:val="00B5547A"/>
    <w:rsid w:val="00B659F0"/>
    <w:rsid w:val="00B80C46"/>
    <w:rsid w:val="00B81411"/>
    <w:rsid w:val="00B81CBF"/>
    <w:rsid w:val="00B81FBB"/>
    <w:rsid w:val="00BA32EE"/>
    <w:rsid w:val="00BA4E6F"/>
    <w:rsid w:val="00BA5A1C"/>
    <w:rsid w:val="00BA6D4B"/>
    <w:rsid w:val="00BA7951"/>
    <w:rsid w:val="00BB3D9B"/>
    <w:rsid w:val="00BB47D1"/>
    <w:rsid w:val="00BC1D52"/>
    <w:rsid w:val="00BD133E"/>
    <w:rsid w:val="00BD71B3"/>
    <w:rsid w:val="00BD7EA2"/>
    <w:rsid w:val="00BF0AB2"/>
    <w:rsid w:val="00BF2BC9"/>
    <w:rsid w:val="00C00A5D"/>
    <w:rsid w:val="00C07B84"/>
    <w:rsid w:val="00C13FC3"/>
    <w:rsid w:val="00C2384B"/>
    <w:rsid w:val="00C24F4E"/>
    <w:rsid w:val="00C365A5"/>
    <w:rsid w:val="00C37AC2"/>
    <w:rsid w:val="00C71696"/>
    <w:rsid w:val="00C803FC"/>
    <w:rsid w:val="00C8056A"/>
    <w:rsid w:val="00C918CF"/>
    <w:rsid w:val="00C94D43"/>
    <w:rsid w:val="00CB1353"/>
    <w:rsid w:val="00CB1A6A"/>
    <w:rsid w:val="00CB3F65"/>
    <w:rsid w:val="00CB417B"/>
    <w:rsid w:val="00CB50B5"/>
    <w:rsid w:val="00CC0ED3"/>
    <w:rsid w:val="00CC7440"/>
    <w:rsid w:val="00CD37D3"/>
    <w:rsid w:val="00CF07CA"/>
    <w:rsid w:val="00CF400E"/>
    <w:rsid w:val="00CF7E5C"/>
    <w:rsid w:val="00D022F7"/>
    <w:rsid w:val="00D12ECE"/>
    <w:rsid w:val="00D14776"/>
    <w:rsid w:val="00D2040E"/>
    <w:rsid w:val="00D249AE"/>
    <w:rsid w:val="00D65036"/>
    <w:rsid w:val="00D81728"/>
    <w:rsid w:val="00D855FB"/>
    <w:rsid w:val="00D92FBE"/>
    <w:rsid w:val="00DB5067"/>
    <w:rsid w:val="00DB5A6A"/>
    <w:rsid w:val="00DC1593"/>
    <w:rsid w:val="00DC2CCD"/>
    <w:rsid w:val="00DD2D9A"/>
    <w:rsid w:val="00DE24E8"/>
    <w:rsid w:val="00DE734D"/>
    <w:rsid w:val="00DF52A4"/>
    <w:rsid w:val="00DF77A8"/>
    <w:rsid w:val="00E077F5"/>
    <w:rsid w:val="00E1095D"/>
    <w:rsid w:val="00E11343"/>
    <w:rsid w:val="00E266E5"/>
    <w:rsid w:val="00E27755"/>
    <w:rsid w:val="00E51FC1"/>
    <w:rsid w:val="00E55730"/>
    <w:rsid w:val="00E62F64"/>
    <w:rsid w:val="00E719E9"/>
    <w:rsid w:val="00E95DEC"/>
    <w:rsid w:val="00EA0FAE"/>
    <w:rsid w:val="00EB56DD"/>
    <w:rsid w:val="00EB6AAE"/>
    <w:rsid w:val="00EC15B6"/>
    <w:rsid w:val="00ED6A87"/>
    <w:rsid w:val="00EE6676"/>
    <w:rsid w:val="00EE74E7"/>
    <w:rsid w:val="00F0238B"/>
    <w:rsid w:val="00F14540"/>
    <w:rsid w:val="00F15650"/>
    <w:rsid w:val="00F2655F"/>
    <w:rsid w:val="00F32534"/>
    <w:rsid w:val="00F34E92"/>
    <w:rsid w:val="00F45236"/>
    <w:rsid w:val="00F65566"/>
    <w:rsid w:val="00F7151D"/>
    <w:rsid w:val="00F82F58"/>
    <w:rsid w:val="00F8698C"/>
    <w:rsid w:val="00F94C5C"/>
    <w:rsid w:val="00F96046"/>
    <w:rsid w:val="00FB4A29"/>
    <w:rsid w:val="00FC6471"/>
    <w:rsid w:val="00FD3267"/>
    <w:rsid w:val="00FD4224"/>
    <w:rsid w:val="00FF009C"/>
    <w:rsid w:val="00FF090E"/>
    <w:rsid w:val="00FF0AD1"/>
    <w:rsid w:val="00FF16B8"/>
    <w:rsid w:val="00FF6291"/>
    <w:rsid w:val="085EA929"/>
    <w:rsid w:val="08C38C80"/>
    <w:rsid w:val="0B5333EF"/>
    <w:rsid w:val="0B6A6313"/>
    <w:rsid w:val="0C0858E7"/>
    <w:rsid w:val="0F3FF9A9"/>
    <w:rsid w:val="0F8CC298"/>
    <w:rsid w:val="11D7D6E8"/>
    <w:rsid w:val="1279BAE2"/>
    <w:rsid w:val="151B18AE"/>
    <w:rsid w:val="1B15B170"/>
    <w:rsid w:val="20DE1867"/>
    <w:rsid w:val="2119EF81"/>
    <w:rsid w:val="252D88FA"/>
    <w:rsid w:val="29F0573F"/>
    <w:rsid w:val="2A158647"/>
    <w:rsid w:val="3163FE94"/>
    <w:rsid w:val="31887E5F"/>
    <w:rsid w:val="32A672D6"/>
    <w:rsid w:val="345E1118"/>
    <w:rsid w:val="380A3025"/>
    <w:rsid w:val="3B917C00"/>
    <w:rsid w:val="3BD0BB10"/>
    <w:rsid w:val="3BDE44EF"/>
    <w:rsid w:val="3FADCEF2"/>
    <w:rsid w:val="4082753B"/>
    <w:rsid w:val="41542727"/>
    <w:rsid w:val="43269460"/>
    <w:rsid w:val="455603E0"/>
    <w:rsid w:val="46897000"/>
    <w:rsid w:val="49C7698E"/>
    <w:rsid w:val="4A2D38D6"/>
    <w:rsid w:val="4C85D860"/>
    <w:rsid w:val="516B2C85"/>
    <w:rsid w:val="53038104"/>
    <w:rsid w:val="56A208B1"/>
    <w:rsid w:val="5947950B"/>
    <w:rsid w:val="5A2E4074"/>
    <w:rsid w:val="5BCA10D5"/>
    <w:rsid w:val="5BE13FF9"/>
    <w:rsid w:val="5C7F35CD"/>
    <w:rsid w:val="5CDCC9E0"/>
    <w:rsid w:val="5F18E0BB"/>
    <w:rsid w:val="5FBED4B2"/>
    <w:rsid w:val="5FE726C9"/>
    <w:rsid w:val="66DE5793"/>
    <w:rsid w:val="691CAF6D"/>
    <w:rsid w:val="6B59DE29"/>
    <w:rsid w:val="6F36F20B"/>
    <w:rsid w:val="6FD4E7DF"/>
    <w:rsid w:val="73DAC79C"/>
    <w:rsid w:val="77FD81DC"/>
    <w:rsid w:val="7A0D71BD"/>
    <w:rsid w:val="7A6824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BF"/>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 w:type="paragraph" w:styleId="FootnoteText">
    <w:name w:val="footnote text"/>
    <w:basedOn w:val="Normal"/>
    <w:link w:val="FootnoteTextChar"/>
    <w:uiPriority w:val="99"/>
    <w:semiHidden/>
    <w:unhideWhenUsed/>
    <w:rsid w:val="00E6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F64"/>
    <w:rPr>
      <w:sz w:val="20"/>
      <w:szCs w:val="20"/>
    </w:rPr>
  </w:style>
  <w:style w:type="character" w:styleId="FootnoteReference">
    <w:name w:val="footnote reference"/>
    <w:basedOn w:val="DefaultParagraphFont"/>
    <w:uiPriority w:val="99"/>
    <w:semiHidden/>
    <w:unhideWhenUsed/>
    <w:rsid w:val="00E62F64"/>
    <w:rPr>
      <w:vertAlign w:val="superscript"/>
    </w:rPr>
  </w:style>
  <w:style w:type="paragraph" w:customStyle="1" w:styleId="Pa58">
    <w:name w:val="Pa58"/>
    <w:basedOn w:val="Normal"/>
    <w:next w:val="Normal"/>
    <w:uiPriority w:val="99"/>
    <w:rsid w:val="008C7B82"/>
    <w:pPr>
      <w:autoSpaceDE w:val="0"/>
      <w:autoSpaceDN w:val="0"/>
      <w:adjustRightInd w:val="0"/>
      <w:spacing w:after="0" w:line="141" w:lineRule="atLeast"/>
    </w:pPr>
    <w:rPr>
      <w:rFonts w:ascii="Open Sans Light" w:hAnsi="Open Sans Light" w:cs="Times New Roman"/>
      <w:kern w:val="0"/>
      <w:sz w:val="24"/>
      <w:szCs w:val="24"/>
    </w:rPr>
  </w:style>
  <w:style w:type="paragraph" w:customStyle="1" w:styleId="Pa50">
    <w:name w:val="Pa50"/>
    <w:basedOn w:val="Normal"/>
    <w:next w:val="Normal"/>
    <w:uiPriority w:val="99"/>
    <w:rsid w:val="007012BF"/>
    <w:pPr>
      <w:autoSpaceDE w:val="0"/>
      <w:autoSpaceDN w:val="0"/>
      <w:adjustRightInd w:val="0"/>
      <w:spacing w:after="0" w:line="141" w:lineRule="atLeast"/>
    </w:pPr>
    <w:rPr>
      <w:rFonts w:ascii="Open Sans Light" w:hAnsi="Open Sans Light" w:cs="Times New Roman"/>
      <w:kern w:val="0"/>
      <w:sz w:val="24"/>
      <w:szCs w:val="24"/>
    </w:rPr>
  </w:style>
  <w:style w:type="character" w:customStyle="1" w:styleId="A2">
    <w:name w:val="A2"/>
    <w:uiPriority w:val="99"/>
    <w:rsid w:val="00003305"/>
    <w:rPr>
      <w:rFonts w:cs="Open Sans Light"/>
      <w:color w:val="000000"/>
      <w:sz w:val="18"/>
      <w:szCs w:val="18"/>
    </w:rPr>
  </w:style>
  <w:style w:type="character" w:customStyle="1" w:styleId="A3">
    <w:name w:val="A3"/>
    <w:uiPriority w:val="99"/>
    <w:rsid w:val="00003305"/>
    <w:rPr>
      <w:rFonts w:cs="Open Sans Light"/>
      <w:color w:val="000000"/>
      <w:sz w:val="14"/>
      <w:szCs w:val="14"/>
    </w:rPr>
  </w:style>
  <w:style w:type="character" w:customStyle="1" w:styleId="A9">
    <w:name w:val="A9"/>
    <w:uiPriority w:val="99"/>
    <w:rsid w:val="00614707"/>
    <w:rPr>
      <w:rFonts w:cs="Open Sans Light"/>
      <w:color w:val="000000"/>
      <w:sz w:val="10"/>
      <w:szCs w:val="10"/>
    </w:rPr>
  </w:style>
  <w:style w:type="paragraph" w:customStyle="1" w:styleId="Pa20">
    <w:name w:val="Pa20"/>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paragraph" w:customStyle="1" w:styleId="Pa59">
    <w:name w:val="Pa59"/>
    <w:basedOn w:val="Normal"/>
    <w:next w:val="Normal"/>
    <w:uiPriority w:val="99"/>
    <w:rsid w:val="00614707"/>
    <w:pPr>
      <w:autoSpaceDE w:val="0"/>
      <w:autoSpaceDN w:val="0"/>
      <w:adjustRightInd w:val="0"/>
      <w:spacing w:after="0" w:line="141" w:lineRule="atLeast"/>
    </w:pPr>
    <w:rPr>
      <w:rFonts w:ascii="Open Sans" w:hAnsi="Open Sans" w:cs="Times New Roman"/>
      <w:kern w:val="0"/>
      <w:sz w:val="24"/>
      <w:szCs w:val="24"/>
    </w:rPr>
  </w:style>
  <w:style w:type="character" w:styleId="PageNumber">
    <w:name w:val="page number"/>
    <w:basedOn w:val="DefaultParagraphFont"/>
    <w:uiPriority w:val="99"/>
    <w:semiHidden/>
    <w:unhideWhenUsed/>
    <w:rsid w:val="00FC6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056">
      <w:bodyDiv w:val="1"/>
      <w:marLeft w:val="0"/>
      <w:marRight w:val="0"/>
      <w:marTop w:val="0"/>
      <w:marBottom w:val="0"/>
      <w:divBdr>
        <w:top w:val="none" w:sz="0" w:space="0" w:color="auto"/>
        <w:left w:val="none" w:sz="0" w:space="0" w:color="auto"/>
        <w:bottom w:val="none" w:sz="0" w:space="0" w:color="auto"/>
        <w:right w:val="none" w:sz="0" w:space="0" w:color="auto"/>
      </w:divBdr>
      <w:divsChild>
        <w:div w:id="1544248620">
          <w:marLeft w:val="360"/>
          <w:marRight w:val="0"/>
          <w:marTop w:val="0"/>
          <w:marBottom w:val="0"/>
          <w:divBdr>
            <w:top w:val="none" w:sz="0" w:space="0" w:color="auto"/>
            <w:left w:val="none" w:sz="0" w:space="0" w:color="auto"/>
            <w:bottom w:val="none" w:sz="0" w:space="0" w:color="auto"/>
            <w:right w:val="none" w:sz="0" w:space="0" w:color="auto"/>
          </w:divBdr>
        </w:div>
        <w:div w:id="2036731654">
          <w:marLeft w:val="360"/>
          <w:marRight w:val="0"/>
          <w:marTop w:val="0"/>
          <w:marBottom w:val="0"/>
          <w:divBdr>
            <w:top w:val="none" w:sz="0" w:space="0" w:color="auto"/>
            <w:left w:val="none" w:sz="0" w:space="0" w:color="auto"/>
            <w:bottom w:val="none" w:sz="0" w:space="0" w:color="auto"/>
            <w:right w:val="none" w:sz="0" w:space="0" w:color="auto"/>
          </w:divBdr>
        </w:div>
        <w:div w:id="271976635">
          <w:marLeft w:val="360"/>
          <w:marRight w:val="0"/>
          <w:marTop w:val="0"/>
          <w:marBottom w:val="0"/>
          <w:divBdr>
            <w:top w:val="none" w:sz="0" w:space="0" w:color="auto"/>
            <w:left w:val="none" w:sz="0" w:space="0" w:color="auto"/>
            <w:bottom w:val="none" w:sz="0" w:space="0" w:color="auto"/>
            <w:right w:val="none" w:sz="0" w:space="0" w:color="auto"/>
          </w:divBdr>
        </w:div>
      </w:divsChild>
    </w:div>
    <w:div w:id="57287341">
      <w:bodyDiv w:val="1"/>
      <w:marLeft w:val="0"/>
      <w:marRight w:val="0"/>
      <w:marTop w:val="0"/>
      <w:marBottom w:val="0"/>
      <w:divBdr>
        <w:top w:val="none" w:sz="0" w:space="0" w:color="auto"/>
        <w:left w:val="none" w:sz="0" w:space="0" w:color="auto"/>
        <w:bottom w:val="none" w:sz="0" w:space="0" w:color="auto"/>
        <w:right w:val="none" w:sz="0" w:space="0" w:color="auto"/>
      </w:divBdr>
    </w:div>
    <w:div w:id="246697204">
      <w:bodyDiv w:val="1"/>
      <w:marLeft w:val="0"/>
      <w:marRight w:val="0"/>
      <w:marTop w:val="0"/>
      <w:marBottom w:val="0"/>
      <w:divBdr>
        <w:top w:val="none" w:sz="0" w:space="0" w:color="auto"/>
        <w:left w:val="none" w:sz="0" w:space="0" w:color="auto"/>
        <w:bottom w:val="none" w:sz="0" w:space="0" w:color="auto"/>
        <w:right w:val="none" w:sz="0" w:space="0" w:color="auto"/>
      </w:divBdr>
    </w:div>
    <w:div w:id="298147916">
      <w:bodyDiv w:val="1"/>
      <w:marLeft w:val="0"/>
      <w:marRight w:val="0"/>
      <w:marTop w:val="0"/>
      <w:marBottom w:val="0"/>
      <w:divBdr>
        <w:top w:val="none" w:sz="0" w:space="0" w:color="auto"/>
        <w:left w:val="none" w:sz="0" w:space="0" w:color="auto"/>
        <w:bottom w:val="none" w:sz="0" w:space="0" w:color="auto"/>
        <w:right w:val="none" w:sz="0" w:space="0" w:color="auto"/>
      </w:divBdr>
    </w:div>
    <w:div w:id="449472407">
      <w:bodyDiv w:val="1"/>
      <w:marLeft w:val="0"/>
      <w:marRight w:val="0"/>
      <w:marTop w:val="0"/>
      <w:marBottom w:val="0"/>
      <w:divBdr>
        <w:top w:val="none" w:sz="0" w:space="0" w:color="auto"/>
        <w:left w:val="none" w:sz="0" w:space="0" w:color="auto"/>
        <w:bottom w:val="none" w:sz="0" w:space="0" w:color="auto"/>
        <w:right w:val="none" w:sz="0" w:space="0" w:color="auto"/>
      </w:divBdr>
    </w:div>
    <w:div w:id="544366603">
      <w:bodyDiv w:val="1"/>
      <w:marLeft w:val="0"/>
      <w:marRight w:val="0"/>
      <w:marTop w:val="0"/>
      <w:marBottom w:val="0"/>
      <w:divBdr>
        <w:top w:val="none" w:sz="0" w:space="0" w:color="auto"/>
        <w:left w:val="none" w:sz="0" w:space="0" w:color="auto"/>
        <w:bottom w:val="none" w:sz="0" w:space="0" w:color="auto"/>
        <w:right w:val="none" w:sz="0" w:space="0" w:color="auto"/>
      </w:divBdr>
    </w:div>
    <w:div w:id="550767963">
      <w:bodyDiv w:val="1"/>
      <w:marLeft w:val="0"/>
      <w:marRight w:val="0"/>
      <w:marTop w:val="0"/>
      <w:marBottom w:val="0"/>
      <w:divBdr>
        <w:top w:val="none" w:sz="0" w:space="0" w:color="auto"/>
        <w:left w:val="none" w:sz="0" w:space="0" w:color="auto"/>
        <w:bottom w:val="none" w:sz="0" w:space="0" w:color="auto"/>
        <w:right w:val="none" w:sz="0" w:space="0" w:color="auto"/>
      </w:divBdr>
      <w:divsChild>
        <w:div w:id="1705403973">
          <w:marLeft w:val="360"/>
          <w:marRight w:val="0"/>
          <w:marTop w:val="0"/>
          <w:marBottom w:val="0"/>
          <w:divBdr>
            <w:top w:val="none" w:sz="0" w:space="0" w:color="auto"/>
            <w:left w:val="none" w:sz="0" w:space="0" w:color="auto"/>
            <w:bottom w:val="none" w:sz="0" w:space="0" w:color="auto"/>
            <w:right w:val="none" w:sz="0" w:space="0" w:color="auto"/>
          </w:divBdr>
        </w:div>
        <w:div w:id="1275406847">
          <w:marLeft w:val="360"/>
          <w:marRight w:val="0"/>
          <w:marTop w:val="0"/>
          <w:marBottom w:val="0"/>
          <w:divBdr>
            <w:top w:val="none" w:sz="0" w:space="0" w:color="auto"/>
            <w:left w:val="none" w:sz="0" w:space="0" w:color="auto"/>
            <w:bottom w:val="none" w:sz="0" w:space="0" w:color="auto"/>
            <w:right w:val="none" w:sz="0" w:space="0" w:color="auto"/>
          </w:divBdr>
        </w:div>
        <w:div w:id="107356426">
          <w:marLeft w:val="360"/>
          <w:marRight w:val="0"/>
          <w:marTop w:val="0"/>
          <w:marBottom w:val="0"/>
          <w:divBdr>
            <w:top w:val="none" w:sz="0" w:space="0" w:color="auto"/>
            <w:left w:val="none" w:sz="0" w:space="0" w:color="auto"/>
            <w:bottom w:val="none" w:sz="0" w:space="0" w:color="auto"/>
            <w:right w:val="none" w:sz="0" w:space="0" w:color="auto"/>
          </w:divBdr>
        </w:div>
      </w:divsChild>
    </w:div>
    <w:div w:id="938295430">
      <w:bodyDiv w:val="1"/>
      <w:marLeft w:val="0"/>
      <w:marRight w:val="0"/>
      <w:marTop w:val="0"/>
      <w:marBottom w:val="0"/>
      <w:divBdr>
        <w:top w:val="none" w:sz="0" w:space="0" w:color="auto"/>
        <w:left w:val="none" w:sz="0" w:space="0" w:color="auto"/>
        <w:bottom w:val="none" w:sz="0" w:space="0" w:color="auto"/>
        <w:right w:val="none" w:sz="0" w:space="0" w:color="auto"/>
      </w:divBdr>
    </w:div>
    <w:div w:id="1138643211">
      <w:bodyDiv w:val="1"/>
      <w:marLeft w:val="0"/>
      <w:marRight w:val="0"/>
      <w:marTop w:val="0"/>
      <w:marBottom w:val="0"/>
      <w:divBdr>
        <w:top w:val="none" w:sz="0" w:space="0" w:color="auto"/>
        <w:left w:val="none" w:sz="0" w:space="0" w:color="auto"/>
        <w:bottom w:val="none" w:sz="0" w:space="0" w:color="auto"/>
        <w:right w:val="none" w:sz="0" w:space="0" w:color="auto"/>
      </w:divBdr>
    </w:div>
    <w:div w:id="1583876894">
      <w:bodyDiv w:val="1"/>
      <w:marLeft w:val="0"/>
      <w:marRight w:val="0"/>
      <w:marTop w:val="0"/>
      <w:marBottom w:val="0"/>
      <w:divBdr>
        <w:top w:val="none" w:sz="0" w:space="0" w:color="auto"/>
        <w:left w:val="none" w:sz="0" w:space="0" w:color="auto"/>
        <w:bottom w:val="none" w:sz="0" w:space="0" w:color="auto"/>
        <w:right w:val="none" w:sz="0" w:space="0" w:color="auto"/>
      </w:divBdr>
    </w:div>
    <w:div w:id="1616907448">
      <w:bodyDiv w:val="1"/>
      <w:marLeft w:val="0"/>
      <w:marRight w:val="0"/>
      <w:marTop w:val="0"/>
      <w:marBottom w:val="0"/>
      <w:divBdr>
        <w:top w:val="none" w:sz="0" w:space="0" w:color="auto"/>
        <w:left w:val="none" w:sz="0" w:space="0" w:color="auto"/>
        <w:bottom w:val="none" w:sz="0" w:space="0" w:color="auto"/>
        <w:right w:val="none" w:sz="0" w:space="0" w:color="auto"/>
      </w:divBdr>
    </w:div>
    <w:div w:id="1831867028">
      <w:bodyDiv w:val="1"/>
      <w:marLeft w:val="0"/>
      <w:marRight w:val="0"/>
      <w:marTop w:val="0"/>
      <w:marBottom w:val="0"/>
      <w:divBdr>
        <w:top w:val="none" w:sz="0" w:space="0" w:color="auto"/>
        <w:left w:val="none" w:sz="0" w:space="0" w:color="auto"/>
        <w:bottom w:val="none" w:sz="0" w:space="0" w:color="auto"/>
        <w:right w:val="none" w:sz="0" w:space="0" w:color="auto"/>
      </w:divBdr>
    </w:div>
    <w:div w:id="1853954883">
      <w:bodyDiv w:val="1"/>
      <w:marLeft w:val="0"/>
      <w:marRight w:val="0"/>
      <w:marTop w:val="0"/>
      <w:marBottom w:val="0"/>
      <w:divBdr>
        <w:top w:val="none" w:sz="0" w:space="0" w:color="auto"/>
        <w:left w:val="none" w:sz="0" w:space="0" w:color="auto"/>
        <w:bottom w:val="none" w:sz="0" w:space="0" w:color="auto"/>
        <w:right w:val="none" w:sz="0" w:space="0" w:color="auto"/>
      </w:divBdr>
    </w:div>
    <w:div w:id="2055687712">
      <w:bodyDiv w:val="1"/>
      <w:marLeft w:val="0"/>
      <w:marRight w:val="0"/>
      <w:marTop w:val="0"/>
      <w:marBottom w:val="0"/>
      <w:divBdr>
        <w:top w:val="none" w:sz="0" w:space="0" w:color="auto"/>
        <w:left w:val="none" w:sz="0" w:space="0" w:color="auto"/>
        <w:bottom w:val="none" w:sz="0" w:space="0" w:color="auto"/>
        <w:right w:val="none" w:sz="0" w:space="0" w:color="auto"/>
      </w:divBdr>
      <w:divsChild>
        <w:div w:id="1214081989">
          <w:marLeft w:val="360"/>
          <w:marRight w:val="0"/>
          <w:marTop w:val="0"/>
          <w:marBottom w:val="0"/>
          <w:divBdr>
            <w:top w:val="none" w:sz="0" w:space="0" w:color="auto"/>
            <w:left w:val="none" w:sz="0" w:space="0" w:color="auto"/>
            <w:bottom w:val="none" w:sz="0" w:space="0" w:color="auto"/>
            <w:right w:val="none" w:sz="0" w:space="0" w:color="auto"/>
          </w:divBdr>
        </w:div>
        <w:div w:id="930158300">
          <w:marLeft w:val="360"/>
          <w:marRight w:val="0"/>
          <w:marTop w:val="0"/>
          <w:marBottom w:val="0"/>
          <w:divBdr>
            <w:top w:val="none" w:sz="0" w:space="0" w:color="auto"/>
            <w:left w:val="none" w:sz="0" w:space="0" w:color="auto"/>
            <w:bottom w:val="none" w:sz="0" w:space="0" w:color="auto"/>
            <w:right w:val="none" w:sz="0" w:space="0" w:color="auto"/>
          </w:divBdr>
        </w:div>
        <w:div w:id="193983112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DDF7F115-B16C-4934-B631-C1749282581E}">
  <ds:schemaRefs>
    <ds:schemaRef ds:uri="http://schemas.openxmlformats.org/officeDocument/2006/bibliography"/>
  </ds:schemaRefs>
</ds:datastoreItem>
</file>

<file path=customXml/itemProps3.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4.xml><?xml version="1.0" encoding="utf-8"?>
<ds:datastoreItem xmlns:ds="http://schemas.openxmlformats.org/officeDocument/2006/customXml" ds:itemID="{C83B79AE-EF54-4FEB-85A9-BDF2268BF6DE}"/>
</file>

<file path=docProps/app.xml><?xml version="1.0" encoding="utf-8"?>
<Properties xmlns="http://schemas.openxmlformats.org/officeDocument/2006/extended-properties" xmlns:vt="http://schemas.openxmlformats.org/officeDocument/2006/docPropsVTypes">
  <Template>Normal</Template>
  <TotalTime>5</TotalTime>
  <Pages>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6</cp:revision>
  <dcterms:created xsi:type="dcterms:W3CDTF">2024-05-20T20:45:00Z</dcterms:created>
  <dcterms:modified xsi:type="dcterms:W3CDTF">2024-06-21T02:24:00Z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